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8C" w:rsidRDefault="007C498C">
      <w:pPr>
        <w:jc w:val="both"/>
        <w:rPr>
          <w:rFonts w:ascii="Calibri" w:eastAsia="Calibri" w:hAnsi="Calibri" w:cs="Calibri"/>
        </w:rPr>
      </w:pPr>
      <w:bookmarkStart w:id="0" w:name="_heading=h.gjdgxs" w:colFirst="0" w:colLast="0"/>
      <w:bookmarkEnd w:id="0"/>
    </w:p>
    <w:p w:rsidR="00111CBE" w:rsidRDefault="00111CBE">
      <w:pPr>
        <w:jc w:val="both"/>
        <w:rPr>
          <w:rFonts w:ascii="Calibri" w:eastAsia="Calibri" w:hAnsi="Calibri" w:cs="Calibri"/>
        </w:rPr>
      </w:pPr>
    </w:p>
    <w:p w:rsidR="007C498C" w:rsidRDefault="007C498C">
      <w:pPr>
        <w:jc w:val="both"/>
        <w:rPr>
          <w:rFonts w:ascii="Calibri" w:eastAsia="Calibri" w:hAnsi="Calibri" w:cs="Calibri"/>
        </w:rPr>
      </w:pPr>
    </w:p>
    <w:p w:rsidR="007C498C" w:rsidRDefault="00AF6A17">
      <w:pPr>
        <w:jc w:val="center"/>
      </w:pPr>
      <w:r>
        <w:rPr>
          <w:rFonts w:ascii="Tahoma" w:eastAsia="Tahoma" w:hAnsi="Tahoma" w:cs="Tahoma"/>
          <w:sz w:val="28"/>
          <w:szCs w:val="28"/>
        </w:rPr>
        <w:t>Piano Annuale per l’Inclusione a.s.202</w:t>
      </w:r>
      <w:r w:rsidR="007C2048">
        <w:rPr>
          <w:rFonts w:ascii="Tahoma" w:eastAsia="Tahoma" w:hAnsi="Tahoma" w:cs="Tahoma"/>
          <w:sz w:val="28"/>
          <w:szCs w:val="28"/>
        </w:rPr>
        <w:t>3</w:t>
      </w:r>
      <w:r>
        <w:rPr>
          <w:rFonts w:ascii="Tahoma" w:eastAsia="Tahoma" w:hAnsi="Tahoma" w:cs="Tahoma"/>
          <w:sz w:val="28"/>
          <w:szCs w:val="28"/>
        </w:rPr>
        <w:t>/202</w:t>
      </w:r>
      <w:r w:rsidR="007C2048">
        <w:rPr>
          <w:rFonts w:ascii="Tahoma" w:eastAsia="Tahoma" w:hAnsi="Tahoma" w:cs="Tahoma"/>
          <w:sz w:val="28"/>
          <w:szCs w:val="28"/>
        </w:rPr>
        <w:t>4</w:t>
      </w:r>
    </w:p>
    <w:p w:rsidR="007C498C" w:rsidRDefault="007C498C">
      <w:pPr>
        <w:jc w:val="center"/>
        <w:rPr>
          <w:rFonts w:ascii="Tahoma" w:eastAsia="Tahoma" w:hAnsi="Tahoma" w:cs="Tahoma"/>
          <w:sz w:val="28"/>
          <w:szCs w:val="28"/>
        </w:rPr>
      </w:pPr>
    </w:p>
    <w:tbl>
      <w:tblPr>
        <w:tblStyle w:val="a"/>
        <w:tblW w:w="9788" w:type="dxa"/>
        <w:tblInd w:w="-5" w:type="dxa"/>
        <w:tblLayout w:type="fixed"/>
        <w:tblLook w:val="0000"/>
      </w:tblPr>
      <w:tblGrid>
        <w:gridCol w:w="9788"/>
      </w:tblGrid>
      <w:tr w:rsidR="007C498C">
        <w:trPr>
          <w:cantSplit/>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tabs>
                <w:tab w:val="left" w:pos="720"/>
              </w:tabs>
            </w:pPr>
            <w:r>
              <w:rPr>
                <w:rFonts w:ascii="Tahoma" w:eastAsia="Tahoma" w:hAnsi="Tahoma" w:cs="Tahoma"/>
                <w:b/>
                <w:sz w:val="28"/>
                <w:szCs w:val="28"/>
              </w:rPr>
              <w:t>Parte I – analisi dei punti di forza e di criticità</w:t>
            </w:r>
          </w:p>
        </w:tc>
      </w:tr>
    </w:tbl>
    <w:p w:rsidR="007C498C" w:rsidRDefault="007C498C"/>
    <w:tbl>
      <w:tblPr>
        <w:tblStyle w:val="a0"/>
        <w:tblW w:w="9788" w:type="dxa"/>
        <w:tblInd w:w="-5" w:type="dxa"/>
        <w:tblLayout w:type="fixed"/>
        <w:tblLook w:val="0000"/>
      </w:tblPr>
      <w:tblGrid>
        <w:gridCol w:w="8148"/>
        <w:gridCol w:w="1640"/>
      </w:tblGrid>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3"/>
              </w:numPr>
            </w:pPr>
            <w:r>
              <w:rPr>
                <w:rFonts w:ascii="Tahoma" w:eastAsia="Tahoma" w:hAnsi="Tahoma" w:cs="Tahoma"/>
                <w:b/>
              </w:rPr>
              <w:t>Rilevazione dei BES presenti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tabs>
                <w:tab w:val="left" w:pos="720"/>
              </w:tabs>
              <w:ind w:left="-108"/>
              <w:jc w:val="center"/>
            </w:pPr>
            <w:r>
              <w:rPr>
                <w:rFonts w:ascii="Tahoma" w:eastAsia="Tahoma" w:hAnsi="Tahoma" w:cs="Tahoma"/>
                <w:b/>
                <w:sz w:val="20"/>
                <w:szCs w:val="20"/>
              </w:rPr>
              <w:t>n°</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4"/>
              </w:numPr>
            </w:pPr>
            <w:r>
              <w:rPr>
                <w:rFonts w:ascii="Tahoma" w:eastAsia="Tahoma" w:hAnsi="Tahoma" w:cs="Tahoma"/>
                <w:b/>
                <w:sz w:val="20"/>
                <w:szCs w:val="20"/>
              </w:rPr>
              <w:t>disabilità certificate (Legge 104/92 art. 3, commi 1 e 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1309B9">
            <w:pPr>
              <w:ind w:left="-108"/>
              <w:jc w:val="center"/>
              <w:rPr>
                <w:rFonts w:ascii="Tahoma" w:eastAsia="Tahoma" w:hAnsi="Tahoma" w:cs="Tahoma"/>
                <w:b/>
                <w:sz w:val="20"/>
                <w:szCs w:val="20"/>
              </w:rPr>
            </w:pPr>
            <w:r>
              <w:rPr>
                <w:rFonts w:ascii="Tahoma" w:eastAsia="Tahoma" w:hAnsi="Tahoma" w:cs="Tahoma"/>
                <w:b/>
                <w:sz w:val="20"/>
                <w:szCs w:val="20"/>
              </w:rPr>
              <w:t>75</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12"/>
              </w:numPr>
              <w:tabs>
                <w:tab w:val="left" w:pos="1080"/>
              </w:tabs>
              <w:ind w:left="1080" w:hanging="360"/>
            </w:pPr>
            <w:r>
              <w:rPr>
                <w:rFonts w:ascii="Tahoma" w:eastAsia="Tahoma" w:hAnsi="Tahoma" w:cs="Tahoma"/>
                <w:b/>
                <w:sz w:val="20"/>
                <w:szCs w:val="20"/>
              </w:rPr>
              <w:t>Minorati vista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495286">
            <w:pPr>
              <w:ind w:left="-108"/>
              <w:jc w:val="center"/>
              <w:rPr>
                <w:rFonts w:ascii="Tahoma" w:eastAsia="Tahoma" w:hAnsi="Tahoma" w:cs="Tahoma"/>
                <w:b/>
                <w:sz w:val="20"/>
                <w:szCs w:val="20"/>
              </w:rPr>
            </w:pPr>
            <w:r>
              <w:rPr>
                <w:rFonts w:ascii="Tahoma" w:eastAsia="Tahoma" w:hAnsi="Tahoma" w:cs="Tahoma"/>
                <w:b/>
                <w:sz w:val="20"/>
                <w:szCs w:val="20"/>
              </w:rPr>
              <w:t>0</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12"/>
              </w:numPr>
              <w:tabs>
                <w:tab w:val="left" w:pos="1080"/>
              </w:tabs>
              <w:ind w:left="1080" w:hanging="360"/>
            </w:pPr>
            <w:r>
              <w:rPr>
                <w:rFonts w:ascii="Tahoma" w:eastAsia="Tahoma" w:hAnsi="Tahoma" w:cs="Tahoma"/>
                <w:b/>
                <w:sz w:val="20"/>
                <w:szCs w:val="20"/>
              </w:rPr>
              <w:t>Minorati udito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0</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12"/>
              </w:numPr>
              <w:tabs>
                <w:tab w:val="left" w:pos="1080"/>
              </w:tabs>
              <w:ind w:left="1080" w:hanging="360"/>
            </w:pPr>
            <w:r>
              <w:rPr>
                <w:rFonts w:ascii="Tahoma" w:eastAsia="Tahoma" w:hAnsi="Tahoma" w:cs="Tahoma"/>
                <w:b/>
                <w:sz w:val="20"/>
                <w:szCs w:val="20"/>
              </w:rPr>
              <w:t>Psicofisici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1309B9">
            <w:pPr>
              <w:ind w:left="-108"/>
              <w:jc w:val="center"/>
              <w:rPr>
                <w:rFonts w:ascii="Tahoma" w:eastAsia="Tahoma" w:hAnsi="Tahoma" w:cs="Tahoma"/>
                <w:b/>
                <w:sz w:val="20"/>
                <w:szCs w:val="20"/>
              </w:rPr>
            </w:pPr>
            <w:r>
              <w:rPr>
                <w:rFonts w:ascii="Tahoma" w:eastAsia="Tahoma" w:hAnsi="Tahoma" w:cs="Tahoma"/>
                <w:b/>
                <w:sz w:val="20"/>
                <w:szCs w:val="20"/>
              </w:rPr>
              <w:t>75</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12"/>
              </w:numPr>
              <w:tabs>
                <w:tab w:val="left" w:pos="1134"/>
              </w:tabs>
              <w:ind w:left="720" w:hanging="10"/>
            </w:pPr>
            <w:r>
              <w:rPr>
                <w:rFonts w:ascii="Tahoma" w:eastAsia="Tahoma" w:hAnsi="Tahoma" w:cs="Tahoma"/>
                <w:b/>
                <w:sz w:val="20"/>
                <w:szCs w:val="20"/>
              </w:rPr>
              <w:t>Altro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ind w:left="-108"/>
              <w:jc w:val="center"/>
              <w:rPr>
                <w:rFonts w:ascii="Tahoma" w:eastAsia="Tahoma" w:hAnsi="Tahoma" w:cs="Tahoma"/>
                <w:b/>
                <w:sz w:val="20"/>
                <w:szCs w:val="20"/>
              </w:rPr>
            </w:pP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4"/>
              </w:numPr>
            </w:pPr>
            <w:r>
              <w:rPr>
                <w:rFonts w:ascii="Tahoma" w:eastAsia="Tahoma" w:hAnsi="Tahoma" w:cs="Tahoma"/>
                <w:b/>
                <w:sz w:val="20"/>
                <w:szCs w:val="20"/>
              </w:rPr>
              <w:t>disturbi evolutivi specifici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495286">
            <w:pPr>
              <w:ind w:left="-108"/>
              <w:jc w:val="center"/>
              <w:rPr>
                <w:rFonts w:ascii="Tahoma" w:eastAsia="Tahoma" w:hAnsi="Tahoma" w:cs="Tahoma"/>
                <w:b/>
                <w:sz w:val="20"/>
                <w:szCs w:val="20"/>
              </w:rPr>
            </w:pPr>
            <w:r>
              <w:rPr>
                <w:rFonts w:ascii="Tahoma" w:eastAsia="Tahoma" w:hAnsi="Tahoma" w:cs="Tahoma"/>
                <w:b/>
                <w:sz w:val="20"/>
                <w:szCs w:val="20"/>
              </w:rPr>
              <w:t>40</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2"/>
              </w:numPr>
              <w:tabs>
                <w:tab w:val="left" w:pos="1080"/>
              </w:tabs>
              <w:ind w:left="1080"/>
            </w:pPr>
            <w:r>
              <w:rPr>
                <w:rFonts w:ascii="Tahoma" w:eastAsia="Tahoma" w:hAnsi="Tahoma" w:cs="Tahoma"/>
                <w:b/>
                <w:sz w:val="20"/>
                <w:szCs w:val="20"/>
              </w:rPr>
              <w:t>DSA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136</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jc w:val="right"/>
            </w:pPr>
            <w:r>
              <w:rPr>
                <w:rFonts w:ascii="Tahoma" w:eastAsia="Tahoma" w:hAnsi="Tahoma" w:cs="Tahoma"/>
                <w:b/>
                <w:sz w:val="20"/>
                <w:szCs w:val="20"/>
              </w:rPr>
              <w:t>Totali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256</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pPr>
              <w:jc w:val="right"/>
            </w:pPr>
            <w:r>
              <w:rPr>
                <w:rFonts w:ascii="Tahoma" w:eastAsia="Tahoma" w:hAnsi="Tahoma" w:cs="Tahoma"/>
                <w:b/>
                <w:sz w:val="20"/>
                <w:szCs w:val="20"/>
              </w:rPr>
              <w:t>% su popolazione scolastica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36,5</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b/>
                <w:sz w:val="20"/>
                <w:szCs w:val="20"/>
              </w:rPr>
              <w:t xml:space="preserve">N° PEI redatti dai GLO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80</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b/>
                <w:sz w:val="20"/>
                <w:szCs w:val="20"/>
              </w:rPr>
              <w:t xml:space="preserve">N° di PDP redatti dai Consigli di classe in </w:t>
            </w:r>
            <w:r>
              <w:rPr>
                <w:rFonts w:ascii="Tahoma" w:eastAsia="Tahoma" w:hAnsi="Tahoma" w:cs="Tahoma"/>
                <w:b/>
                <w:sz w:val="20"/>
                <w:szCs w:val="20"/>
                <w:u w:val="single"/>
              </w:rPr>
              <w:t>presenza</w:t>
            </w:r>
            <w:r>
              <w:rPr>
                <w:rFonts w:ascii="Tahoma" w:eastAsia="Tahoma" w:hAnsi="Tahoma" w:cs="Tahoma"/>
                <w:b/>
                <w:sz w:val="20"/>
                <w:szCs w:val="20"/>
              </w:rPr>
              <w:t xml:space="preserve"> di certificazione sanitaria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rsidP="00FE79B9">
            <w:pPr>
              <w:ind w:left="-108"/>
              <w:jc w:val="center"/>
              <w:rPr>
                <w:rFonts w:ascii="Tahoma" w:eastAsia="Tahoma" w:hAnsi="Tahoma" w:cs="Tahoma"/>
                <w:b/>
                <w:sz w:val="20"/>
                <w:szCs w:val="20"/>
              </w:rPr>
            </w:pPr>
            <w:r>
              <w:rPr>
                <w:rFonts w:ascii="Tahoma" w:eastAsia="Tahoma" w:hAnsi="Tahoma" w:cs="Tahoma"/>
                <w:b/>
                <w:sz w:val="20"/>
                <w:szCs w:val="20"/>
              </w:rPr>
              <w:t>1</w:t>
            </w:r>
            <w:r w:rsidR="00FE79B9">
              <w:rPr>
                <w:rFonts w:ascii="Tahoma" w:eastAsia="Tahoma" w:hAnsi="Tahoma" w:cs="Tahoma"/>
                <w:b/>
                <w:sz w:val="20"/>
                <w:szCs w:val="20"/>
              </w:rPr>
              <w:t>50</w:t>
            </w:r>
          </w:p>
        </w:tc>
      </w:tr>
      <w:tr w:rsidR="007C498C">
        <w:trPr>
          <w:cantSplit/>
          <w:tblHeader/>
        </w:trPr>
        <w:tc>
          <w:tcPr>
            <w:tcW w:w="8148"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b/>
                <w:sz w:val="20"/>
                <w:szCs w:val="20"/>
              </w:rPr>
              <w:t xml:space="preserve">N° di PDP redatti dai Consigli di classe in </w:t>
            </w:r>
            <w:r>
              <w:rPr>
                <w:rFonts w:ascii="Tahoma" w:eastAsia="Tahoma" w:hAnsi="Tahoma" w:cs="Tahoma"/>
                <w:b/>
                <w:sz w:val="20"/>
                <w:szCs w:val="20"/>
                <w:u w:val="single"/>
              </w:rPr>
              <w:t>assenza</w:t>
            </w:r>
            <w:r>
              <w:rPr>
                <w:rFonts w:ascii="Tahoma" w:eastAsia="Tahoma" w:hAnsi="Tahoma" w:cs="Tahoma"/>
                <w:b/>
                <w:sz w:val="20"/>
                <w:szCs w:val="20"/>
              </w:rPr>
              <w:t xml:space="preserve"> di certificazione sanitaria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26</w:t>
            </w:r>
          </w:p>
        </w:tc>
      </w:tr>
    </w:tbl>
    <w:p w:rsidR="007C498C" w:rsidRDefault="007C498C"/>
    <w:p w:rsidR="007C498C" w:rsidRDefault="007C498C"/>
    <w:p w:rsidR="007C498C" w:rsidRDefault="007C498C"/>
    <w:p w:rsidR="007C498C" w:rsidRDefault="007C498C"/>
    <w:p w:rsidR="007C498C" w:rsidRDefault="007C498C"/>
    <w:p w:rsidR="007C498C" w:rsidRDefault="007C498C"/>
    <w:tbl>
      <w:tblPr>
        <w:tblStyle w:val="a1"/>
        <w:tblW w:w="9788" w:type="dxa"/>
        <w:tblInd w:w="-5" w:type="dxa"/>
        <w:tblLayout w:type="fixed"/>
        <w:tblLook w:val="0000"/>
      </w:tblPr>
      <w:tblGrid>
        <w:gridCol w:w="4928"/>
        <w:gridCol w:w="3220"/>
        <w:gridCol w:w="1640"/>
      </w:tblGrid>
      <w:tr w:rsidR="007C498C">
        <w:trPr>
          <w:cantSplit/>
          <w:tblHeader/>
        </w:trPr>
        <w:tc>
          <w:tcPr>
            <w:tcW w:w="4928" w:type="dxa"/>
            <w:tcBorders>
              <w:top w:val="single" w:sz="4" w:space="0" w:color="000000"/>
              <w:left w:val="single" w:sz="4" w:space="0" w:color="000000"/>
              <w:bottom w:val="single" w:sz="4" w:space="0" w:color="000000"/>
            </w:tcBorders>
            <w:shd w:val="clear" w:color="auto" w:fill="auto"/>
          </w:tcPr>
          <w:p w:rsidR="007C498C" w:rsidRDefault="00AF6A17">
            <w:pPr>
              <w:widowControl/>
              <w:numPr>
                <w:ilvl w:val="0"/>
                <w:numId w:val="3"/>
              </w:numPr>
            </w:pPr>
            <w:r>
              <w:rPr>
                <w:rFonts w:ascii="Tahoma" w:eastAsia="Tahoma" w:hAnsi="Tahoma" w:cs="Tahoma"/>
                <w:b/>
              </w:rPr>
              <w:t>Risorse professionali specifiche</w:t>
            </w:r>
          </w:p>
        </w:tc>
        <w:tc>
          <w:tcPr>
            <w:tcW w:w="3220" w:type="dxa"/>
            <w:tcBorders>
              <w:top w:val="single" w:sz="4" w:space="0" w:color="000000"/>
              <w:left w:val="single" w:sz="4" w:space="0" w:color="000000"/>
              <w:bottom w:val="single" w:sz="4" w:space="0" w:color="000000"/>
            </w:tcBorders>
            <w:shd w:val="clear" w:color="auto" w:fill="auto"/>
          </w:tcPr>
          <w:p w:rsidR="007C498C" w:rsidRDefault="00AF6A17">
            <w:r>
              <w:rPr>
                <w:rFonts w:ascii="Tahoma" w:eastAsia="Tahoma" w:hAnsi="Tahoma" w:cs="Tahoma"/>
                <w:i/>
                <w:sz w:val="20"/>
                <w:szCs w:val="20"/>
              </w:rPr>
              <w:t>Prevalentemente utilizzate 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ind w:left="-108"/>
              <w:jc w:val="center"/>
            </w:pPr>
            <w:r>
              <w:rPr>
                <w:rFonts w:ascii="Tahoma" w:eastAsia="Tahoma" w:hAnsi="Tahoma" w:cs="Tahoma"/>
                <w:b/>
                <w:sz w:val="20"/>
                <w:szCs w:val="20"/>
              </w:rPr>
              <w:t>Sì / No</w:t>
            </w:r>
          </w:p>
        </w:tc>
      </w:tr>
      <w:tr w:rsidR="007C498C">
        <w:trPr>
          <w:cantSplit/>
          <w:tblHeader/>
        </w:trPr>
        <w:tc>
          <w:tcPr>
            <w:tcW w:w="4928" w:type="dxa"/>
            <w:tcBorders>
              <w:top w:val="single" w:sz="4" w:space="0" w:color="000000"/>
              <w:left w:val="single" w:sz="4" w:space="0" w:color="000000"/>
              <w:bottom w:val="single" w:sz="4" w:space="0" w:color="000000"/>
            </w:tcBorders>
            <w:shd w:val="clear" w:color="auto" w:fill="auto"/>
          </w:tcPr>
          <w:p w:rsidR="007C498C" w:rsidRDefault="00AF6A17">
            <w:pPr>
              <w:jc w:val="right"/>
            </w:pPr>
            <w:r>
              <w:rPr>
                <w:rFonts w:ascii="Tahoma" w:eastAsia="Tahoma" w:hAnsi="Tahoma" w:cs="Tahoma"/>
                <w:b/>
                <w:sz w:val="20"/>
                <w:szCs w:val="20"/>
              </w:rPr>
              <w:t>Insegnanti di sostegno</w:t>
            </w:r>
          </w:p>
        </w:tc>
        <w:tc>
          <w:tcPr>
            <w:tcW w:w="3220" w:type="dxa"/>
            <w:tcBorders>
              <w:top w:val="single" w:sz="4" w:space="0" w:color="000000"/>
              <w:left w:val="single" w:sz="4" w:space="0" w:color="000000"/>
              <w:bottom w:val="single" w:sz="4" w:space="0" w:color="000000"/>
            </w:tcBorders>
            <w:shd w:val="clear" w:color="auto" w:fill="auto"/>
          </w:tcPr>
          <w:p w:rsidR="007C498C" w:rsidRDefault="00AF6A17">
            <w:r>
              <w:rPr>
                <w:rFonts w:ascii="Tahoma" w:eastAsia="Tahoma" w:hAnsi="Tahoma" w:cs="Tahoma"/>
                <w:sz w:val="20"/>
                <w:szCs w:val="20"/>
              </w:rPr>
              <w:t>Attività individualizzate e di piccolo gruppo</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tutti</w:t>
            </w:r>
          </w:p>
        </w:tc>
      </w:tr>
      <w:tr w:rsidR="007C498C">
        <w:trPr>
          <w:cantSplit/>
          <w:tblHeader/>
        </w:trPr>
        <w:tc>
          <w:tcPr>
            <w:tcW w:w="4928" w:type="dxa"/>
            <w:tcBorders>
              <w:top w:val="single" w:sz="4" w:space="0" w:color="000000"/>
              <w:left w:val="single" w:sz="4" w:space="0" w:color="000000"/>
              <w:bottom w:val="single" w:sz="4" w:space="0" w:color="000000"/>
            </w:tcBorders>
            <w:shd w:val="clear" w:color="auto" w:fill="auto"/>
          </w:tcPr>
          <w:p w:rsidR="007C498C" w:rsidRDefault="00AF6A17">
            <w:pPr>
              <w:jc w:val="right"/>
            </w:pPr>
            <w:r>
              <w:rPr>
                <w:rFonts w:ascii="Tahoma" w:eastAsia="Tahoma" w:hAnsi="Tahoma" w:cs="Tahoma"/>
                <w:b/>
                <w:sz w:val="20"/>
                <w:szCs w:val="20"/>
              </w:rPr>
              <w:t>Assistenti alla comunicazione</w:t>
            </w:r>
          </w:p>
        </w:tc>
        <w:tc>
          <w:tcPr>
            <w:tcW w:w="3220" w:type="dxa"/>
            <w:tcBorders>
              <w:top w:val="single" w:sz="4" w:space="0" w:color="000000"/>
              <w:left w:val="single" w:sz="4" w:space="0" w:color="000000"/>
              <w:bottom w:val="single" w:sz="4" w:space="0" w:color="000000"/>
            </w:tcBorders>
            <w:shd w:val="clear" w:color="auto" w:fill="auto"/>
          </w:tcPr>
          <w:p w:rsidR="007C498C" w:rsidRDefault="007C498C"/>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2</w:t>
            </w:r>
          </w:p>
        </w:tc>
      </w:tr>
      <w:tr w:rsidR="007C498C">
        <w:trPr>
          <w:cantSplit/>
          <w:tblHeader/>
        </w:trPr>
        <w:tc>
          <w:tcPr>
            <w:tcW w:w="4928" w:type="dxa"/>
            <w:tcBorders>
              <w:top w:val="single" w:sz="4" w:space="0" w:color="000000"/>
              <w:left w:val="single" w:sz="4" w:space="0" w:color="000000"/>
              <w:bottom w:val="single" w:sz="4" w:space="0" w:color="000000"/>
            </w:tcBorders>
            <w:shd w:val="clear" w:color="auto" w:fill="auto"/>
          </w:tcPr>
          <w:p w:rsidR="007C498C" w:rsidRDefault="00AF6A17">
            <w:pPr>
              <w:jc w:val="right"/>
              <w:rPr>
                <w:rFonts w:ascii="Tahoma" w:eastAsia="Tahoma" w:hAnsi="Tahoma" w:cs="Tahoma"/>
                <w:b/>
                <w:sz w:val="20"/>
                <w:szCs w:val="20"/>
              </w:rPr>
            </w:pPr>
            <w:r>
              <w:rPr>
                <w:rFonts w:ascii="Tahoma" w:eastAsia="Tahoma" w:hAnsi="Tahoma" w:cs="Tahoma"/>
                <w:b/>
                <w:sz w:val="20"/>
                <w:szCs w:val="20"/>
              </w:rPr>
              <w:t>Assistenti sensoriali</w:t>
            </w:r>
          </w:p>
        </w:tc>
        <w:tc>
          <w:tcPr>
            <w:tcW w:w="3220" w:type="dxa"/>
            <w:tcBorders>
              <w:top w:val="single" w:sz="4" w:space="0" w:color="000000"/>
              <w:left w:val="single" w:sz="4" w:space="0" w:color="000000"/>
              <w:bottom w:val="single" w:sz="4" w:space="0" w:color="000000"/>
            </w:tcBorders>
            <w:shd w:val="clear" w:color="auto" w:fill="auto"/>
          </w:tcPr>
          <w:p w:rsidR="007C498C" w:rsidRDefault="007C498C"/>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0</w:t>
            </w:r>
          </w:p>
          <w:p w:rsidR="007C498C" w:rsidRDefault="007C498C">
            <w:pPr>
              <w:ind w:left="-108"/>
              <w:jc w:val="center"/>
              <w:rPr>
                <w:rFonts w:ascii="Tahoma" w:eastAsia="Tahoma" w:hAnsi="Tahoma" w:cs="Tahoma"/>
                <w:b/>
                <w:sz w:val="20"/>
                <w:szCs w:val="20"/>
              </w:rPr>
            </w:pPr>
          </w:p>
        </w:tc>
      </w:tr>
      <w:tr w:rsidR="007C498C">
        <w:trPr>
          <w:cantSplit/>
          <w:tblHeader/>
        </w:trPr>
        <w:tc>
          <w:tcPr>
            <w:tcW w:w="4928" w:type="dxa"/>
            <w:tcBorders>
              <w:top w:val="single" w:sz="4" w:space="0" w:color="000000"/>
              <w:left w:val="single" w:sz="4" w:space="0" w:color="000000"/>
              <w:bottom w:val="single" w:sz="4" w:space="0" w:color="000000"/>
            </w:tcBorders>
            <w:shd w:val="clear" w:color="auto" w:fill="auto"/>
          </w:tcPr>
          <w:p w:rsidR="007C498C" w:rsidRDefault="00AF6A17">
            <w:pPr>
              <w:jc w:val="right"/>
            </w:pPr>
            <w:r>
              <w:rPr>
                <w:rFonts w:ascii="Tahoma" w:eastAsia="Tahoma" w:hAnsi="Tahoma" w:cs="Tahoma"/>
                <w:b/>
                <w:sz w:val="20"/>
                <w:szCs w:val="20"/>
              </w:rPr>
              <w:t xml:space="preserve">Funzioni strumentali </w:t>
            </w:r>
          </w:p>
        </w:tc>
        <w:tc>
          <w:tcPr>
            <w:tcW w:w="3220" w:type="dxa"/>
            <w:tcBorders>
              <w:top w:val="single" w:sz="4" w:space="0" w:color="000000"/>
              <w:left w:val="single" w:sz="4" w:space="0" w:color="000000"/>
              <w:bottom w:val="single" w:sz="4" w:space="0" w:color="000000"/>
            </w:tcBorders>
            <w:shd w:val="clear" w:color="auto" w:fill="auto"/>
          </w:tcPr>
          <w:p w:rsidR="007C498C" w:rsidRDefault="007C498C">
            <w:pPr>
              <w:rPr>
                <w:rFonts w:ascii="Tahoma" w:eastAsia="Tahoma" w:hAnsi="Tahoma" w:cs="Tahoma"/>
                <w:b/>
                <w:sz w:val="20"/>
                <w:szCs w:val="20"/>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4928" w:type="dxa"/>
            <w:tcBorders>
              <w:top w:val="single" w:sz="4" w:space="0" w:color="000000"/>
              <w:left w:val="single" w:sz="4" w:space="0" w:color="000000"/>
              <w:bottom w:val="single" w:sz="4" w:space="0" w:color="000000"/>
            </w:tcBorders>
            <w:shd w:val="clear" w:color="auto" w:fill="auto"/>
          </w:tcPr>
          <w:p w:rsidR="007C498C" w:rsidRDefault="00AF6A17">
            <w:pPr>
              <w:jc w:val="right"/>
            </w:pPr>
            <w:r>
              <w:rPr>
                <w:rFonts w:ascii="Tahoma" w:eastAsia="Tahoma" w:hAnsi="Tahoma" w:cs="Tahoma"/>
                <w:b/>
                <w:sz w:val="20"/>
                <w:szCs w:val="20"/>
              </w:rPr>
              <w:t xml:space="preserve">Referenti di Istituto </w:t>
            </w:r>
          </w:p>
        </w:tc>
        <w:tc>
          <w:tcPr>
            <w:tcW w:w="3220" w:type="dxa"/>
            <w:tcBorders>
              <w:top w:val="single" w:sz="4" w:space="0" w:color="000000"/>
              <w:left w:val="single" w:sz="4" w:space="0" w:color="000000"/>
              <w:bottom w:val="single" w:sz="4" w:space="0" w:color="000000"/>
            </w:tcBorders>
            <w:shd w:val="clear" w:color="auto" w:fill="auto"/>
          </w:tcPr>
          <w:p w:rsidR="007C498C" w:rsidRDefault="007C498C">
            <w:pPr>
              <w:rPr>
                <w:rFonts w:ascii="Tahoma" w:eastAsia="Tahoma" w:hAnsi="Tahoma" w:cs="Tahoma"/>
                <w:b/>
                <w:sz w:val="20"/>
                <w:szCs w:val="20"/>
                <w:u w:val="single"/>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ind w:left="-108"/>
              <w:jc w:val="center"/>
              <w:rPr>
                <w:rFonts w:ascii="Tahoma" w:eastAsia="Tahoma" w:hAnsi="Tahoma" w:cs="Tahoma"/>
                <w:b/>
                <w:sz w:val="20"/>
                <w:szCs w:val="20"/>
                <w:u w:val="single"/>
              </w:rPr>
            </w:pPr>
            <w:r>
              <w:rPr>
                <w:rFonts w:ascii="Tahoma" w:eastAsia="Tahoma" w:hAnsi="Tahoma" w:cs="Tahoma"/>
                <w:b/>
                <w:sz w:val="20"/>
                <w:szCs w:val="20"/>
                <w:u w:val="single"/>
              </w:rPr>
              <w:t>si</w:t>
            </w:r>
          </w:p>
        </w:tc>
      </w:tr>
      <w:tr w:rsidR="007C498C">
        <w:trPr>
          <w:cantSplit/>
          <w:tblHeader/>
        </w:trPr>
        <w:tc>
          <w:tcPr>
            <w:tcW w:w="4928" w:type="dxa"/>
            <w:tcBorders>
              <w:top w:val="single" w:sz="4" w:space="0" w:color="000000"/>
              <w:left w:val="single" w:sz="4" w:space="0" w:color="000000"/>
              <w:bottom w:val="single" w:sz="4" w:space="0" w:color="000000"/>
            </w:tcBorders>
            <w:shd w:val="clear" w:color="auto" w:fill="auto"/>
          </w:tcPr>
          <w:p w:rsidR="007C498C" w:rsidRDefault="00AF6A17">
            <w:pPr>
              <w:jc w:val="right"/>
            </w:pPr>
            <w:r>
              <w:rPr>
                <w:rFonts w:ascii="Tahoma" w:eastAsia="Tahoma" w:hAnsi="Tahoma" w:cs="Tahoma"/>
                <w:b/>
                <w:sz w:val="20"/>
                <w:szCs w:val="20"/>
              </w:rPr>
              <w:t>Psicopedagogisti e affini esterni/interni</w:t>
            </w:r>
          </w:p>
        </w:tc>
        <w:tc>
          <w:tcPr>
            <w:tcW w:w="3220" w:type="dxa"/>
            <w:tcBorders>
              <w:top w:val="single" w:sz="4" w:space="0" w:color="000000"/>
              <w:left w:val="single" w:sz="4" w:space="0" w:color="000000"/>
              <w:bottom w:val="single" w:sz="4" w:space="0" w:color="000000"/>
            </w:tcBorders>
            <w:shd w:val="clear" w:color="auto" w:fill="auto"/>
          </w:tcPr>
          <w:p w:rsidR="007C498C" w:rsidRDefault="007C498C">
            <w:pPr>
              <w:rPr>
                <w:rFonts w:ascii="Tahoma" w:eastAsia="Tahoma" w:hAnsi="Tahoma" w:cs="Tahoma"/>
                <w:b/>
                <w:sz w:val="20"/>
                <w:szCs w:val="20"/>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bl>
    <w:p w:rsidR="007C498C" w:rsidRDefault="007C498C"/>
    <w:p w:rsidR="007C498C" w:rsidRDefault="007C498C">
      <w:pPr>
        <w:pageBreakBefore/>
      </w:pPr>
    </w:p>
    <w:tbl>
      <w:tblPr>
        <w:tblStyle w:val="a2"/>
        <w:tblW w:w="9788" w:type="dxa"/>
        <w:tblInd w:w="-5" w:type="dxa"/>
        <w:tblLayout w:type="fixed"/>
        <w:tblLook w:val="0000"/>
      </w:tblPr>
      <w:tblGrid>
        <w:gridCol w:w="5211"/>
        <w:gridCol w:w="2937"/>
        <w:gridCol w:w="1640"/>
      </w:tblGrid>
      <w:tr w:rsidR="007C498C">
        <w:trPr>
          <w:cantSplit/>
          <w:tblHeader/>
        </w:trPr>
        <w:tc>
          <w:tcPr>
            <w:tcW w:w="5211" w:type="dxa"/>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3"/>
              </w:numPr>
            </w:pPr>
            <w:r>
              <w:rPr>
                <w:rFonts w:ascii="Tahoma" w:eastAsia="Tahoma" w:hAnsi="Tahoma" w:cs="Tahoma"/>
                <w:b/>
              </w:rPr>
              <w:t>Coinvolgimento docenti curricolari</w:t>
            </w: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i/>
                <w:sz w:val="20"/>
                <w:szCs w:val="20"/>
              </w:rPr>
              <w:t>Attraverso…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pPr>
            <w:r>
              <w:rPr>
                <w:rFonts w:ascii="Tahoma" w:eastAsia="Tahoma" w:hAnsi="Tahoma" w:cs="Tahoma"/>
                <w:b/>
                <w:sz w:val="20"/>
                <w:szCs w:val="20"/>
              </w:rPr>
              <w:t>Sì / No</w:t>
            </w:r>
          </w:p>
        </w:tc>
      </w:tr>
      <w:tr w:rsidR="007C498C">
        <w:trPr>
          <w:cantSplit/>
          <w:tblHeader/>
        </w:trPr>
        <w:tc>
          <w:tcPr>
            <w:tcW w:w="5211" w:type="dxa"/>
            <w:vMerge w:val="restart"/>
            <w:tcBorders>
              <w:top w:val="single" w:sz="4" w:space="0" w:color="000000"/>
              <w:left w:val="single" w:sz="4" w:space="0" w:color="000000"/>
              <w:bottom w:val="single" w:sz="4" w:space="0" w:color="000000"/>
            </w:tcBorders>
            <w:shd w:val="clear" w:color="auto" w:fill="auto"/>
            <w:vAlign w:val="center"/>
          </w:tcPr>
          <w:p w:rsidR="007C498C" w:rsidRDefault="00AF6A17">
            <w:pPr>
              <w:jc w:val="right"/>
            </w:pPr>
            <w:r>
              <w:rPr>
                <w:rFonts w:ascii="Tahoma" w:eastAsia="Tahoma" w:hAnsi="Tahoma" w:cs="Tahoma"/>
                <w:b/>
                <w:sz w:val="20"/>
                <w:szCs w:val="20"/>
              </w:rPr>
              <w:t>Coordinatori di classe e simili</w:t>
            </w: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Partecipazione a GLI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5211"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Rapporti con famiglie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5211" w:type="dxa"/>
            <w:vMerge w:val="restart"/>
            <w:tcBorders>
              <w:top w:val="single" w:sz="4" w:space="0" w:color="000000"/>
              <w:left w:val="single" w:sz="4" w:space="0" w:color="000000"/>
              <w:bottom w:val="single" w:sz="4" w:space="0" w:color="000000"/>
            </w:tcBorders>
            <w:shd w:val="clear" w:color="auto" w:fill="auto"/>
            <w:vAlign w:val="center"/>
          </w:tcPr>
          <w:p w:rsidR="007C498C" w:rsidRDefault="00AF6A17">
            <w:pPr>
              <w:jc w:val="right"/>
            </w:pPr>
            <w:r>
              <w:rPr>
                <w:rFonts w:ascii="Tahoma" w:eastAsia="Tahoma" w:hAnsi="Tahoma" w:cs="Tahoma"/>
                <w:b/>
                <w:sz w:val="20"/>
                <w:szCs w:val="20"/>
              </w:rPr>
              <w:t>Docenti con specifica formazione</w:t>
            </w: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Partecipazione a GLI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5211"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Rapporti con famiglie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5211" w:type="dxa"/>
            <w:vMerge w:val="restart"/>
            <w:tcBorders>
              <w:top w:val="single" w:sz="4" w:space="0" w:color="000000"/>
              <w:left w:val="single" w:sz="4" w:space="0" w:color="000000"/>
              <w:bottom w:val="single" w:sz="4" w:space="0" w:color="000000"/>
            </w:tcBorders>
            <w:shd w:val="clear" w:color="auto" w:fill="auto"/>
            <w:vAlign w:val="center"/>
          </w:tcPr>
          <w:p w:rsidR="007C498C" w:rsidRDefault="00AF6A17">
            <w:pPr>
              <w:jc w:val="right"/>
            </w:pPr>
            <w:r>
              <w:rPr>
                <w:rFonts w:ascii="Tahoma" w:eastAsia="Tahoma" w:hAnsi="Tahoma" w:cs="Tahoma"/>
                <w:b/>
                <w:sz w:val="20"/>
                <w:szCs w:val="20"/>
              </w:rPr>
              <w:t>Altri docenti</w:t>
            </w: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Partecipazione a GLI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5211"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Rapporti con famiglie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5211"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Tutoraggio alunni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5211"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Progetti didattico-educativi a prevalente tematica inclusiva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bl>
    <w:p w:rsidR="007C498C" w:rsidRDefault="007C498C"/>
    <w:tbl>
      <w:tblPr>
        <w:tblStyle w:val="a3"/>
        <w:tblW w:w="9791" w:type="dxa"/>
        <w:tblInd w:w="-5" w:type="dxa"/>
        <w:tblLayout w:type="fixed"/>
        <w:tblLook w:val="0000"/>
      </w:tblPr>
      <w:tblGrid>
        <w:gridCol w:w="4077"/>
        <w:gridCol w:w="2871"/>
        <w:gridCol w:w="566"/>
        <w:gridCol w:w="566"/>
        <w:gridCol w:w="71"/>
        <w:gridCol w:w="495"/>
        <w:gridCol w:w="566"/>
        <w:gridCol w:w="579"/>
      </w:tblGrid>
      <w:tr w:rsidR="007C498C">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3"/>
              </w:numPr>
            </w:pPr>
            <w:r>
              <w:rPr>
                <w:rFonts w:ascii="Tahoma" w:eastAsia="Tahoma" w:hAnsi="Tahoma" w:cs="Tahoma"/>
                <w:b/>
              </w:rPr>
              <w:t>Coinvolgimento personale ATA</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Assistenza alunni disabili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Progetti di inclusione / laboratori integrati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3"/>
              </w:numPr>
            </w:pPr>
            <w:r>
              <w:rPr>
                <w:rFonts w:ascii="Tahoma" w:eastAsia="Tahoma" w:hAnsi="Tahoma" w:cs="Tahoma"/>
                <w:b/>
              </w:rPr>
              <w:t>Coinvolgimento famiglie</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Informazione /formazione su genitorialità e psicopedagogia dell’età evolutiva</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Coinvolgimento in progetti di inclusione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Coinvolgimento in attività di promozione della comunità educante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3"/>
              </w:numPr>
            </w:pPr>
            <w:r>
              <w:rPr>
                <w:rFonts w:ascii="Tahoma" w:eastAsia="Tahoma" w:hAnsi="Tahoma" w:cs="Tahoma"/>
                <w:b/>
              </w:rPr>
              <w:t>Rapporti con servizi sociosanitari territoriali e istituzioni deputate alla sicurezza. Rapporti con CTS / CTI</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sidP="00B465C1">
            <w:r>
              <w:rPr>
                <w:rFonts w:ascii="Tahoma" w:eastAsia="Tahoma" w:hAnsi="Tahoma" w:cs="Tahoma"/>
                <w:sz w:val="20"/>
                <w:szCs w:val="20"/>
              </w:rPr>
              <w:t>Accordi di programma / protocolli di intesa formalizzati sulla disabilità</w:t>
            </w:r>
            <w:r w:rsidR="00B465C1">
              <w:rPr>
                <w:rFonts w:ascii="Tahoma" w:eastAsia="Tahoma" w:hAnsi="Tahoma" w:cs="Tahoma"/>
                <w:sz w:val="20"/>
                <w:szCs w:val="20"/>
              </w:rPr>
              <w:t xml:space="preserve"> ( Accordo di rete con Ente “ Il Quadrifoglio”)</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B465C1" w:rsidP="00B465C1">
            <w:pPr>
              <w:ind w:left="-108"/>
              <w:jc w:val="center"/>
              <w:rPr>
                <w:rFonts w:ascii="Tahoma" w:eastAsia="Tahoma" w:hAnsi="Tahoma" w:cs="Tahoma"/>
                <w:b/>
                <w:sz w:val="20"/>
                <w:szCs w:val="20"/>
              </w:rPr>
            </w:pPr>
            <w:r>
              <w:rPr>
                <w:rFonts w:ascii="Tahoma" w:eastAsia="Tahoma" w:hAnsi="Tahoma" w:cs="Tahoma"/>
                <w:b/>
                <w:sz w:val="20"/>
                <w:szCs w:val="20"/>
              </w:rPr>
              <w:t xml:space="preserve">SI </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sidP="00B465C1">
            <w:r>
              <w:rPr>
                <w:rFonts w:ascii="Tahoma" w:eastAsia="Tahoma" w:hAnsi="Tahoma" w:cs="Tahoma"/>
                <w:sz w:val="20"/>
                <w:szCs w:val="20"/>
              </w:rPr>
              <w:t>Accordi di programma / protocolli di intesa formalizzati su disagio e simili</w:t>
            </w:r>
            <w:r w:rsidR="00B465C1">
              <w:rPr>
                <w:rFonts w:ascii="Tahoma" w:eastAsia="Tahoma" w:hAnsi="Tahoma" w:cs="Tahoma"/>
                <w:sz w:val="20"/>
                <w:szCs w:val="20"/>
              </w:rPr>
              <w:t xml:space="preserve">( Protocollo d’intesa con POLO EDUCATIVO Comune di Latina) </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B465C1">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Procedure condivise di intervento sulla disabilità</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Procedure condivise di intervento su disagio e simili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Progetti territoriali integrati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Progetti integrati a livello di singola scuola</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Rapporti con CTS / CTI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3"/>
              </w:numPr>
            </w:pPr>
            <w:r>
              <w:rPr>
                <w:rFonts w:ascii="Tahoma" w:eastAsia="Tahoma" w:hAnsi="Tahoma" w:cs="Tahoma"/>
                <w:b/>
              </w:rPr>
              <w:t>Rapporti con privato sociale e volontariato</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Progetti territoriali integrati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Progetti integrati a livello di singola scuola</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Progetti a livello di reti di scuole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val="restart"/>
            <w:tcBorders>
              <w:top w:val="single" w:sz="4" w:space="0" w:color="000000"/>
              <w:left w:val="single" w:sz="4" w:space="0" w:color="000000"/>
              <w:bottom w:val="single" w:sz="4" w:space="0" w:color="000000"/>
            </w:tcBorders>
            <w:shd w:val="clear" w:color="auto" w:fill="auto"/>
            <w:vAlign w:val="center"/>
          </w:tcPr>
          <w:p w:rsidR="007C498C" w:rsidRDefault="00AF6A17">
            <w:pPr>
              <w:widowControl/>
              <w:numPr>
                <w:ilvl w:val="0"/>
                <w:numId w:val="3"/>
              </w:numPr>
            </w:pPr>
            <w:r>
              <w:rPr>
                <w:rFonts w:ascii="Tahoma" w:eastAsia="Tahoma" w:hAnsi="Tahoma" w:cs="Tahoma"/>
                <w:b/>
              </w:rPr>
              <w:t>Formazione docenti</w:t>
            </w: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Strategie e metodologie educativo-didattiche / gestione della classe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Didattica speciale e progetti educativo-didattici a prevalente tematica inclusiva</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Didattica interculturale / italiano L2</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Psicologia e psicopatologia dell’età evolutiva (compresi DSA, ADHD, ecc.)</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sz w:val="20"/>
                <w:szCs w:val="20"/>
              </w:rPr>
              <w:t>Progetti di formazione su specifiche disabilità (autismo, ADHD, Dis. Intellettive, sensoriali…)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B465C1">
            <w:pPr>
              <w:ind w:left="-108"/>
              <w:jc w:val="center"/>
              <w:rPr>
                <w:rFonts w:ascii="Tahoma" w:eastAsia="Tahoma" w:hAnsi="Tahoma" w:cs="Tahoma"/>
                <w:b/>
                <w:sz w:val="20"/>
                <w:szCs w:val="20"/>
              </w:rPr>
            </w:pPr>
            <w:r>
              <w:rPr>
                <w:rFonts w:ascii="Tahoma" w:eastAsia="Tahoma" w:hAnsi="Tahoma" w:cs="Tahoma"/>
                <w:b/>
                <w:sz w:val="20"/>
                <w:szCs w:val="20"/>
              </w:rPr>
              <w:t>SI</w:t>
            </w:r>
          </w:p>
        </w:tc>
      </w:tr>
      <w:tr w:rsidR="007C498C">
        <w:trPr>
          <w:cantSplit/>
          <w:tblHeader/>
        </w:trPr>
        <w:tc>
          <w:tcPr>
            <w:tcW w:w="4077" w:type="dxa"/>
            <w:vMerge/>
            <w:tcBorders>
              <w:top w:val="single" w:sz="4" w:space="0" w:color="000000"/>
              <w:left w:val="single" w:sz="4" w:space="0" w:color="000000"/>
              <w:bottom w:val="single" w:sz="4" w:space="0" w:color="000000"/>
            </w:tcBorders>
            <w:shd w:val="clear" w:color="auto" w:fill="auto"/>
            <w:vAlign w:val="center"/>
          </w:tcPr>
          <w:p w:rsidR="007C498C" w:rsidRDefault="007C498C">
            <w:pPr>
              <w:pBdr>
                <w:top w:val="nil"/>
                <w:left w:val="nil"/>
                <w:bottom w:val="nil"/>
                <w:right w:val="nil"/>
                <w:between w:val="nil"/>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rsidR="007C498C" w:rsidRDefault="00AF6A17">
            <w:pPr>
              <w:rPr>
                <w:rFonts w:ascii="Tahoma" w:eastAsia="Tahoma" w:hAnsi="Tahoma" w:cs="Tahoma"/>
                <w:sz w:val="20"/>
                <w:szCs w:val="20"/>
              </w:rPr>
            </w:pPr>
            <w:r>
              <w:rPr>
                <w:rFonts w:ascii="Tahoma" w:eastAsia="Tahoma" w:hAnsi="Tahoma" w:cs="Tahoma"/>
                <w:sz w:val="20"/>
                <w:szCs w:val="20"/>
              </w:rPr>
              <w:t>Progetti di formazione sulla normativa inclusiva</w:t>
            </w:r>
          </w:p>
          <w:p w:rsidR="007C498C" w:rsidRDefault="007C498C">
            <w:pPr>
              <w:rPr>
                <w:rFonts w:ascii="Tahoma" w:eastAsia="Tahoma" w:hAnsi="Tahoma" w:cs="Tahoma"/>
                <w:sz w:val="20"/>
                <w:szCs w:val="20"/>
              </w:rPr>
            </w:pPr>
          </w:p>
          <w:p w:rsidR="007C498C" w:rsidRDefault="007C498C">
            <w:pPr>
              <w:rPr>
                <w:rFonts w:ascii="Tahoma" w:eastAsia="Tahoma" w:hAnsi="Tahoma" w:cs="Tahoma"/>
                <w:sz w:val="20"/>
                <w:szCs w:val="20"/>
              </w:rPr>
            </w:pPr>
          </w:p>
          <w:p w:rsidR="007C498C" w:rsidRDefault="007C498C">
            <w:pPr>
              <w:rPr>
                <w:rFonts w:ascii="Tahoma" w:eastAsia="Tahoma" w:hAnsi="Tahoma" w:cs="Tahoma"/>
                <w:sz w:val="20"/>
                <w:szCs w:val="20"/>
              </w:rPr>
            </w:pPr>
          </w:p>
          <w:p w:rsidR="007C498C" w:rsidRDefault="007C498C"/>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FE79B9">
            <w:pPr>
              <w:ind w:left="-108"/>
              <w:jc w:val="center"/>
              <w:rPr>
                <w:rFonts w:ascii="Tahoma" w:eastAsia="Tahoma" w:hAnsi="Tahoma" w:cs="Tahoma"/>
                <w:b/>
                <w:sz w:val="20"/>
                <w:szCs w:val="20"/>
              </w:rPr>
            </w:pPr>
            <w:r>
              <w:rPr>
                <w:rFonts w:ascii="Tahoma" w:eastAsia="Tahoma" w:hAnsi="Tahoma" w:cs="Tahoma"/>
                <w:b/>
                <w:sz w:val="20"/>
                <w:szCs w:val="20"/>
              </w:rPr>
              <w:t>NO</w:t>
            </w:r>
          </w:p>
        </w:tc>
      </w:tr>
      <w:tr w:rsidR="007C498C">
        <w:trPr>
          <w:cantSplit/>
          <w:trHeight w:val="242"/>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r>
              <w:rPr>
                <w:rFonts w:ascii="Tahoma" w:eastAsia="Tahoma" w:hAnsi="Tahoma" w:cs="Tahoma"/>
                <w:b/>
              </w:rPr>
              <w:t>Sintesi dei punti di forza e di criticità rilevati :</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pPr>
            <w:r>
              <w:rPr>
                <w:rFonts w:ascii="Tahoma" w:eastAsia="Tahoma" w:hAnsi="Tahoma" w:cs="Tahoma"/>
                <w:b/>
                <w:sz w:val="20"/>
                <w:szCs w:val="20"/>
              </w:rPr>
              <w:t>0</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pPr>
            <w:r>
              <w:rPr>
                <w:rFonts w:ascii="Tahoma" w:eastAsia="Tahoma" w:hAnsi="Tahoma" w:cs="Tahoma"/>
                <w:b/>
                <w:sz w:val="20"/>
                <w:szCs w:val="20"/>
              </w:rPr>
              <w:t>1</w:t>
            </w: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pPr>
            <w:r>
              <w:rPr>
                <w:rFonts w:ascii="Tahoma" w:eastAsia="Tahoma" w:hAnsi="Tahoma" w:cs="Tahoma"/>
                <w:b/>
                <w:sz w:val="20"/>
                <w:szCs w:val="20"/>
              </w:rPr>
              <w:t>2</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pPr>
            <w:r>
              <w:rPr>
                <w:rFonts w:ascii="Tahoma" w:eastAsia="Tahoma" w:hAnsi="Tahoma" w:cs="Tahoma"/>
                <w:b/>
                <w:sz w:val="20"/>
                <w:szCs w:val="20"/>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tabs>
                <w:tab w:val="left" w:pos="720"/>
              </w:tabs>
              <w:jc w:val="center"/>
            </w:pPr>
            <w:r>
              <w:rPr>
                <w:rFonts w:ascii="Tahoma" w:eastAsia="Tahoma" w:hAnsi="Tahoma" w:cs="Tahoma"/>
                <w:b/>
                <w:sz w:val="20"/>
                <w:szCs w:val="20"/>
              </w:rPr>
              <w:t>4</w:t>
            </w: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Aspetti organizzativi e gestionali coinvolti nel cambiamento inclusivo</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Possibilità di strutturare percorsi specifici di formazione e aggiornamento degli insegnanti</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FE79B9">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Adozione di strategie di valutazione coerenti con prassi inclusive</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Organizzazione dei diversi tipi di sostegno presenti all’interno della scuola</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Organizzazione dei diversi tipi di sostegno presenti all’esterno della scuola, in rapporto ai diversi servizi esistenti</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7C2048">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Ruolo delle famiglie e della comunità nel dare supporto e nel partecipare alle decisioni che riguardano l’organizzazione delle attività educative</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Sviluppo di un curricolo attento alle diversità e alla promozione di percorsi formativi inclusivi</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Valorizzazione delle risorse esistenti</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Acquisizione e distribuzione di risorse aggiuntive utilizzabili per la realizzazione dei progetti di inclusione</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Attenzione dedicata alle fasi di transizione che scandiscono l’ingresso nel sistema scolastico, la continuità tra i diversi ordini di scuola e il successivo inserimento lavorativo</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70"/>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Altro:</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rHeight w:val="241"/>
          <w:tblHeader/>
        </w:trPr>
        <w:tc>
          <w:tcPr>
            <w:tcW w:w="6948" w:type="dxa"/>
            <w:gridSpan w:val="2"/>
            <w:tcBorders>
              <w:top w:val="single" w:sz="4" w:space="0" w:color="000000"/>
              <w:left w:val="single" w:sz="4" w:space="0" w:color="000000"/>
              <w:bottom w:val="single" w:sz="4" w:space="0" w:color="000000"/>
            </w:tcBorders>
            <w:shd w:val="clear" w:color="auto" w:fill="auto"/>
            <w:vAlign w:val="center"/>
          </w:tcPr>
          <w:p w:rsidR="007C498C" w:rsidRDefault="00AF6A17">
            <w:pPr>
              <w:tabs>
                <w:tab w:val="left" w:pos="720"/>
              </w:tabs>
            </w:pPr>
            <w:r>
              <w:rPr>
                <w:rFonts w:ascii="Tahoma" w:eastAsia="Tahoma" w:hAnsi="Tahoma" w:cs="Tahoma"/>
                <w:sz w:val="20"/>
                <w:szCs w:val="20"/>
              </w:rPr>
              <w:t>Altro:</w:t>
            </w: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7C498C">
            <w:pPr>
              <w:tabs>
                <w:tab w:val="left" w:pos="720"/>
              </w:tabs>
              <w:jc w:val="center"/>
              <w:rPr>
                <w:rFonts w:ascii="Tahoma" w:eastAsia="Tahoma" w:hAnsi="Tahoma" w:cs="Tahoma"/>
                <w:b/>
                <w:sz w:val="20"/>
                <w:szCs w:val="20"/>
              </w:rPr>
            </w:pPr>
          </w:p>
        </w:tc>
      </w:tr>
      <w:tr w:rsidR="007C498C">
        <w:trPr>
          <w:cantSplit/>
          <w:tblHeader/>
        </w:trPr>
        <w:tc>
          <w:tcPr>
            <w:tcW w:w="9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tabs>
                <w:tab w:val="left" w:pos="720"/>
              </w:tabs>
            </w:pPr>
            <w:r>
              <w:rPr>
                <w:rFonts w:ascii="Tahoma" w:eastAsia="Tahoma" w:hAnsi="Tahoma" w:cs="Tahoma"/>
                <w:i/>
                <w:sz w:val="20"/>
                <w:szCs w:val="20"/>
              </w:rPr>
              <w:t>* = 0: per niente 1: poco 2: abbastanza 3: molto 4 moltissimo</w:t>
            </w:r>
          </w:p>
        </w:tc>
      </w:tr>
      <w:tr w:rsidR="007C498C">
        <w:trPr>
          <w:cantSplit/>
          <w:tblHeader/>
        </w:trPr>
        <w:tc>
          <w:tcPr>
            <w:tcW w:w="9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C498C" w:rsidRDefault="00AF6A17">
            <w:pPr>
              <w:tabs>
                <w:tab w:val="left" w:pos="720"/>
              </w:tabs>
            </w:pPr>
            <w:r>
              <w:rPr>
                <w:rFonts w:ascii="Tahoma" w:eastAsia="Tahoma" w:hAnsi="Tahoma" w:cs="Tahoma"/>
                <w:i/>
                <w:sz w:val="20"/>
                <w:szCs w:val="20"/>
              </w:rPr>
              <w:t>Adattato dagli indicatori UNESCO per la valutazione del grado di inclusività dei sistemi scolastici</w:t>
            </w:r>
          </w:p>
        </w:tc>
      </w:tr>
      <w:tr w:rsidR="007C498C">
        <w:trPr>
          <w:cantSplit/>
          <w:tblHeader/>
        </w:trPr>
        <w:tc>
          <w:tcPr>
            <w:tcW w:w="9791" w:type="dxa"/>
            <w:gridSpan w:val="8"/>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pPr>
            <w:r>
              <w:rPr>
                <w:rFonts w:ascii="Tahoma" w:eastAsia="Tahoma" w:hAnsi="Tahoma" w:cs="Tahoma"/>
                <w:b/>
                <w:sz w:val="28"/>
                <w:szCs w:val="28"/>
              </w:rPr>
              <w:t>Parte II – Obiettivi di incremento dell’inclusività proposti per il prossimo anno</w:t>
            </w:r>
          </w:p>
        </w:tc>
      </w:tr>
    </w:tbl>
    <w:p w:rsidR="007C498C" w:rsidRDefault="007C498C"/>
    <w:tbl>
      <w:tblPr>
        <w:tblStyle w:val="a4"/>
        <w:tblW w:w="9788" w:type="dxa"/>
        <w:tblInd w:w="-5" w:type="dxa"/>
        <w:tblLayout w:type="fixed"/>
        <w:tblLook w:val="0000"/>
      </w:tblPr>
      <w:tblGrid>
        <w:gridCol w:w="9788"/>
      </w:tblGrid>
      <w:tr w:rsidR="007C498C">
        <w:trPr>
          <w:cantSplit/>
          <w:trHeight w:val="70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rFonts w:ascii="Tahoma" w:eastAsia="Tahoma" w:hAnsi="Tahoma" w:cs="Tahoma"/>
                <w:b/>
                <w:sz w:val="20"/>
                <w:szCs w:val="20"/>
              </w:rPr>
            </w:pPr>
            <w:r>
              <w:rPr>
                <w:rFonts w:ascii="Tahoma" w:eastAsia="Tahoma" w:hAnsi="Tahoma" w:cs="Tahoma"/>
                <w:b/>
                <w:sz w:val="20"/>
                <w:szCs w:val="20"/>
              </w:rPr>
              <w:lastRenderedPageBreak/>
              <w:t xml:space="preserve">Aspetti organizzativi e gestionali coinvolti nel cambiamento inclusivo </w:t>
            </w:r>
          </w:p>
          <w:p w:rsidR="007C498C" w:rsidRDefault="00AF6A17">
            <w:pPr>
              <w:tabs>
                <w:tab w:val="left" w:pos="720"/>
              </w:tabs>
              <w:jc w:val="both"/>
              <w:rPr>
                <w:rFonts w:ascii="Tahoma" w:eastAsia="Tahoma" w:hAnsi="Tahoma" w:cs="Tahoma"/>
                <w:b/>
                <w:sz w:val="20"/>
                <w:szCs w:val="20"/>
              </w:rPr>
            </w:pPr>
            <w:r>
              <w:rPr>
                <w:rFonts w:ascii="Tahoma" w:eastAsia="Tahoma" w:hAnsi="Tahoma" w:cs="Tahoma"/>
                <w:b/>
                <w:sz w:val="20"/>
                <w:szCs w:val="20"/>
              </w:rPr>
              <w:t>L’Istituto eroga il servizio strutturando l’articolazione con le seguenti figure per le elencate attività:</w:t>
            </w:r>
          </w:p>
          <w:p w:rsidR="007C498C" w:rsidRDefault="00AF6A17">
            <w:pPr>
              <w:tabs>
                <w:tab w:val="left" w:pos="720"/>
              </w:tabs>
              <w:jc w:val="both"/>
            </w:pPr>
            <w:r>
              <w:rPr>
                <w:b/>
              </w:rPr>
              <w:t>Il dirigente scolastico</w:t>
            </w:r>
            <w:r>
              <w:t xml:space="preserve"> è responsabile dell’organizzazione del progetto di inclusione stabilito dalla scuola e specificamente  :</w:t>
            </w:r>
          </w:p>
          <w:p w:rsidR="007C498C" w:rsidRDefault="00AF6A17">
            <w:pPr>
              <w:widowControl/>
              <w:numPr>
                <w:ilvl w:val="0"/>
                <w:numId w:val="5"/>
              </w:numPr>
              <w:tabs>
                <w:tab w:val="left" w:pos="720"/>
              </w:tabs>
              <w:jc w:val="both"/>
            </w:pPr>
            <w:r>
              <w:t xml:space="preserve">Inserisce nelle  classi gli alunni certificati ai sensi della L. 104/92 e della L.170/2010 ed attribuisce alle classi il monte ore di sostegno assegnato dall’USP per gli alunni con disabilità . </w:t>
            </w:r>
          </w:p>
          <w:p w:rsidR="007C498C" w:rsidRDefault="00AF6A17">
            <w:pPr>
              <w:widowControl/>
              <w:numPr>
                <w:ilvl w:val="0"/>
                <w:numId w:val="5"/>
              </w:numPr>
              <w:tabs>
                <w:tab w:val="left" w:pos="720"/>
              </w:tabs>
              <w:jc w:val="both"/>
            </w:pPr>
            <w:r>
              <w:t>Definisce gli orari , il controllo del diretto svolgimento delle attività da parte dei docenti specializzati e curriculari</w:t>
            </w:r>
          </w:p>
          <w:p w:rsidR="007C498C" w:rsidRDefault="00AF6A17">
            <w:pPr>
              <w:widowControl/>
              <w:numPr>
                <w:ilvl w:val="0"/>
                <w:numId w:val="5"/>
              </w:numPr>
              <w:tabs>
                <w:tab w:val="left" w:pos="720"/>
              </w:tabs>
              <w:jc w:val="both"/>
            </w:pPr>
            <w:r>
              <w:t xml:space="preserve">Gestisce le risorse interne </w:t>
            </w:r>
          </w:p>
          <w:p w:rsidR="007C498C" w:rsidRDefault="00AF6A17">
            <w:pPr>
              <w:widowControl/>
              <w:numPr>
                <w:ilvl w:val="0"/>
                <w:numId w:val="5"/>
              </w:numPr>
              <w:tabs>
                <w:tab w:val="left" w:pos="720"/>
              </w:tabs>
              <w:jc w:val="both"/>
            </w:pPr>
            <w:r>
              <w:t>Presiede GLI,GLO e CDC</w:t>
            </w:r>
          </w:p>
          <w:p w:rsidR="007C498C" w:rsidRDefault="00AF6A17">
            <w:pPr>
              <w:widowControl/>
              <w:numPr>
                <w:ilvl w:val="0"/>
                <w:numId w:val="5"/>
              </w:numPr>
              <w:tabs>
                <w:tab w:val="left" w:pos="720"/>
              </w:tabs>
              <w:jc w:val="both"/>
            </w:pPr>
            <w:r>
              <w:t>Promuove e garantisce le attività di formazione e aggiornamento.</w:t>
            </w:r>
          </w:p>
          <w:p w:rsidR="007C498C" w:rsidRDefault="00AF6A17">
            <w:pPr>
              <w:tabs>
                <w:tab w:val="left" w:pos="720"/>
              </w:tabs>
              <w:ind w:left="360"/>
              <w:jc w:val="both"/>
            </w:pPr>
            <w:r>
              <w:rPr>
                <w:b/>
              </w:rPr>
              <w:t>Il Gli</w:t>
            </w:r>
            <w:r>
              <w:t xml:space="preserve"> composto da docenti curriculari, docenti di sostegno, </w:t>
            </w:r>
            <w:r w:rsidRPr="00D13201">
              <w:t xml:space="preserve">,  servizi dell’Ente Comune, associazioni </w:t>
            </w:r>
            <w:r w:rsidR="00D13201" w:rsidRPr="00D13201">
              <w:t xml:space="preserve">di terzo </w:t>
            </w:r>
            <w:r w:rsidRPr="00D13201">
              <w:t>settore per categorie di diversa abilità e nominato dal dirigente scolastico, ha il compito di :</w:t>
            </w:r>
          </w:p>
          <w:p w:rsidR="007C498C" w:rsidRDefault="00AF6A17">
            <w:pPr>
              <w:widowControl/>
              <w:numPr>
                <w:ilvl w:val="0"/>
                <w:numId w:val="7"/>
              </w:numPr>
              <w:tabs>
                <w:tab w:val="left" w:pos="720"/>
              </w:tabs>
              <w:jc w:val="both"/>
            </w:pPr>
            <w:r>
              <w:t>Supportare il collegio docenti nella definizione e realizzazione del piano di inclusione, fornire consulenza nella stesura dei Pei e dei PDP per allievi con Bisogni educativi speciali.</w:t>
            </w:r>
          </w:p>
          <w:p w:rsidR="007C498C" w:rsidRDefault="00AF6A17">
            <w:pPr>
              <w:tabs>
                <w:tab w:val="left" w:pos="720"/>
              </w:tabs>
              <w:ind w:left="360"/>
              <w:jc w:val="both"/>
            </w:pPr>
            <w:r>
              <w:rPr>
                <w:b/>
              </w:rPr>
              <w:t>La referente della funzione strumentale e  referente inclusione</w:t>
            </w:r>
            <w:r>
              <w:t xml:space="preserve"> ha il compito di:</w:t>
            </w:r>
          </w:p>
          <w:p w:rsidR="007C498C" w:rsidRDefault="00AF6A17">
            <w:pPr>
              <w:widowControl/>
              <w:numPr>
                <w:ilvl w:val="0"/>
                <w:numId w:val="9"/>
              </w:numPr>
              <w:tabs>
                <w:tab w:val="left" w:pos="720"/>
              </w:tabs>
              <w:jc w:val="both"/>
            </w:pPr>
            <w:r>
              <w:t xml:space="preserve">coordinare le risorse dedicate alle  attività inclusive </w:t>
            </w:r>
          </w:p>
          <w:p w:rsidR="007C498C" w:rsidRDefault="00AF6A17">
            <w:pPr>
              <w:widowControl/>
              <w:numPr>
                <w:ilvl w:val="0"/>
                <w:numId w:val="9"/>
              </w:numPr>
              <w:tabs>
                <w:tab w:val="left" w:pos="720"/>
              </w:tabs>
              <w:jc w:val="both"/>
            </w:pPr>
            <w:r>
              <w:t>accogliere alunni neoiscritti</w:t>
            </w:r>
          </w:p>
          <w:p w:rsidR="007C498C" w:rsidRDefault="00AF6A17">
            <w:pPr>
              <w:widowControl/>
              <w:numPr>
                <w:ilvl w:val="0"/>
                <w:numId w:val="9"/>
              </w:numPr>
              <w:tabs>
                <w:tab w:val="left" w:pos="720"/>
              </w:tabs>
              <w:jc w:val="both"/>
            </w:pPr>
            <w:r>
              <w:t>Potenziare la collaborazione tra Enti al fine di ottimizzare l’azione didattica inclusiva</w:t>
            </w:r>
          </w:p>
          <w:p w:rsidR="007C498C" w:rsidRDefault="00AF6A17">
            <w:pPr>
              <w:widowControl/>
              <w:numPr>
                <w:ilvl w:val="0"/>
                <w:numId w:val="9"/>
              </w:numPr>
              <w:tabs>
                <w:tab w:val="left" w:pos="720"/>
              </w:tabs>
              <w:jc w:val="both"/>
            </w:pPr>
            <w:r>
              <w:t>Favorire il flusso di informazioni verso i docenti di sostegno e i docenti curriculari , al fine di migliorare il processo formativo</w:t>
            </w:r>
          </w:p>
          <w:p w:rsidR="007C498C" w:rsidRDefault="00AF6A17">
            <w:pPr>
              <w:widowControl/>
              <w:numPr>
                <w:ilvl w:val="0"/>
                <w:numId w:val="9"/>
              </w:numPr>
              <w:tabs>
                <w:tab w:val="left" w:pos="720"/>
              </w:tabs>
              <w:jc w:val="both"/>
            </w:pPr>
            <w:r>
              <w:t>Raccogliere le informazioni documentali degli alunni BES</w:t>
            </w:r>
          </w:p>
          <w:p w:rsidR="007C498C" w:rsidRDefault="00AF6A17">
            <w:pPr>
              <w:widowControl/>
              <w:numPr>
                <w:ilvl w:val="0"/>
                <w:numId w:val="9"/>
              </w:numPr>
              <w:tabs>
                <w:tab w:val="left" w:pos="720"/>
              </w:tabs>
              <w:jc w:val="both"/>
            </w:pPr>
            <w:r>
              <w:t>Organizzare il servizio di accoglienza/consulenza alle famiglie</w:t>
            </w:r>
          </w:p>
          <w:p w:rsidR="007C498C" w:rsidRDefault="00AF6A17">
            <w:pPr>
              <w:tabs>
                <w:tab w:val="left" w:pos="720"/>
              </w:tabs>
              <w:ind w:left="360"/>
              <w:jc w:val="both"/>
            </w:pPr>
            <w:r>
              <w:rPr>
                <w:b/>
              </w:rPr>
              <w:t>Il dipartimento</w:t>
            </w:r>
            <w:r>
              <w:t xml:space="preserve"> sostegno collabora con la FS e la referente  e coordina i docenti del dipartimento per la strutturazione della programmazione didattica adeguata ai diversi target della popolazione BES</w:t>
            </w:r>
          </w:p>
          <w:p w:rsidR="007C498C" w:rsidRDefault="00AF6A17">
            <w:pPr>
              <w:tabs>
                <w:tab w:val="left" w:pos="720"/>
              </w:tabs>
              <w:ind w:left="360"/>
              <w:jc w:val="both"/>
            </w:pPr>
            <w:r>
              <w:rPr>
                <w:b/>
              </w:rPr>
              <w:t>I docenti di sostegno e curriculari</w:t>
            </w:r>
            <w:r>
              <w:t xml:space="preserve"> :</w:t>
            </w:r>
          </w:p>
          <w:p w:rsidR="007C498C" w:rsidRDefault="00AF6A17">
            <w:pPr>
              <w:widowControl/>
              <w:numPr>
                <w:ilvl w:val="0"/>
                <w:numId w:val="10"/>
              </w:numPr>
              <w:tabs>
                <w:tab w:val="left" w:pos="720"/>
              </w:tabs>
              <w:jc w:val="both"/>
            </w:pPr>
            <w:r>
              <w:t>Segnalano al coordinatore di classe i Bisogni educativi Speciali</w:t>
            </w:r>
          </w:p>
          <w:p w:rsidR="007C498C" w:rsidRDefault="00AF6A17">
            <w:pPr>
              <w:widowControl/>
              <w:numPr>
                <w:ilvl w:val="0"/>
                <w:numId w:val="10"/>
              </w:numPr>
              <w:tabs>
                <w:tab w:val="left" w:pos="720"/>
              </w:tabs>
              <w:jc w:val="both"/>
            </w:pPr>
            <w:r>
              <w:t>Inoltre, specificamente, il docente di sostegno cura il rapporto con le famiglie, coordina il C.d.c. nella progettazione e stesura del PEI</w:t>
            </w:r>
          </w:p>
          <w:p w:rsidR="007C498C" w:rsidRDefault="00AF6A17">
            <w:pPr>
              <w:tabs>
                <w:tab w:val="left" w:pos="720"/>
              </w:tabs>
              <w:ind w:left="360"/>
              <w:jc w:val="both"/>
            </w:pPr>
            <w:r>
              <w:rPr>
                <w:b/>
              </w:rPr>
              <w:t>La famiglia</w:t>
            </w:r>
            <w:r>
              <w:t>: condivide il processo educativo, contribuisce nella stesura del PEI e aggiorna la scuola circa le  evoluzioni degli stadi clinici dell’allievo fornendo adeguata documentazione.</w:t>
            </w:r>
          </w:p>
          <w:p w:rsidR="007C498C" w:rsidRDefault="007C498C">
            <w:pPr>
              <w:tabs>
                <w:tab w:val="left" w:pos="720"/>
              </w:tabs>
              <w:ind w:left="360"/>
              <w:jc w:val="both"/>
            </w:pPr>
          </w:p>
        </w:tc>
      </w:tr>
      <w:tr w:rsidR="007C498C">
        <w:trPr>
          <w:cantSplit/>
          <w:trHeight w:val="226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rFonts w:ascii="Tahoma" w:eastAsia="Tahoma" w:hAnsi="Tahoma" w:cs="Tahoma"/>
                <w:b/>
                <w:sz w:val="20"/>
                <w:szCs w:val="20"/>
              </w:rPr>
            </w:pPr>
            <w:r>
              <w:rPr>
                <w:rFonts w:ascii="Tahoma" w:eastAsia="Tahoma" w:hAnsi="Tahoma" w:cs="Tahoma"/>
                <w:b/>
                <w:sz w:val="20"/>
                <w:szCs w:val="20"/>
              </w:rPr>
              <w:lastRenderedPageBreak/>
              <w:t>Possibilità di strutturare percorsi specifici di formazione e aggiornamento degli insegnanti</w:t>
            </w:r>
          </w:p>
          <w:p w:rsidR="007C498C" w:rsidRDefault="00AF6A17">
            <w:pPr>
              <w:tabs>
                <w:tab w:val="left" w:pos="720"/>
              </w:tabs>
              <w:jc w:val="both"/>
              <w:rPr>
                <w:rFonts w:ascii="Tahoma" w:eastAsia="Tahoma" w:hAnsi="Tahoma" w:cs="Tahoma"/>
                <w:b/>
                <w:sz w:val="20"/>
                <w:szCs w:val="20"/>
              </w:rPr>
            </w:pPr>
            <w:r>
              <w:rPr>
                <w:rFonts w:ascii="Tahoma" w:eastAsia="Tahoma" w:hAnsi="Tahoma" w:cs="Tahoma"/>
                <w:b/>
                <w:sz w:val="20"/>
                <w:szCs w:val="20"/>
              </w:rPr>
              <w:t>L’istituto si impegna a :</w:t>
            </w:r>
          </w:p>
          <w:p w:rsidR="007C498C" w:rsidRDefault="00AF6A17">
            <w:pPr>
              <w:widowControl/>
              <w:pBdr>
                <w:top w:val="nil"/>
                <w:left w:val="nil"/>
                <w:bottom w:val="nil"/>
                <w:right w:val="nil"/>
                <w:between w:val="nil"/>
              </w:pBdr>
              <w:jc w:val="both"/>
              <w:rPr>
                <w:rFonts w:eastAsia="Times New Roman" w:cs="Times New Roman"/>
                <w:color w:val="000000"/>
              </w:rPr>
            </w:pPr>
            <w:r>
              <w:rPr>
                <w:rFonts w:ascii="MS UI Gothic" w:eastAsia="MS UI Gothic" w:hAnsi="MS UI Gothic" w:cs="MS UI Gothic"/>
                <w:color w:val="000000"/>
                <w:sz w:val="20"/>
                <w:szCs w:val="20"/>
              </w:rPr>
              <w:t>1</w:t>
            </w:r>
            <w:r>
              <w:rPr>
                <w:rFonts w:eastAsia="Times New Roman" w:cs="Times New Roman"/>
                <w:color w:val="000000"/>
              </w:rPr>
              <w:t xml:space="preserve">) Promuovere, all’interno dell’istituto, corsi di formazione, secondo le direttive ministeriali, che rispettino le esigenze specifiche presenti.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2) Partecipare alla formazione della scuola Polo all’interno dell’Ambito territoriale 22.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3) Aderire ai corsi di aggiornamento promossi dagli Enti territoriali e più in generale locali.</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4) Strutturare momenti di formazione-aggiornamento all’interno della scuola, attraverso l</w:t>
            </w:r>
            <w:r>
              <w:t>’</w:t>
            </w:r>
            <w:r>
              <w:rPr>
                <w:rFonts w:eastAsia="Times New Roman" w:cs="Times New Roman"/>
                <w:color w:val="000000"/>
              </w:rPr>
              <w:t xml:space="preserve">utilizzo delle risorse umane presenti, anche in modalità a distanza. </w:t>
            </w:r>
          </w:p>
          <w:p w:rsidR="007C498C" w:rsidRDefault="00AF6A17">
            <w:pPr>
              <w:widowControl/>
              <w:pBdr>
                <w:top w:val="nil"/>
                <w:left w:val="nil"/>
                <w:bottom w:val="nil"/>
                <w:right w:val="nil"/>
                <w:between w:val="nil"/>
              </w:pBdr>
              <w:jc w:val="both"/>
              <w:rPr>
                <w:rFonts w:ascii="Tahoma" w:eastAsia="Tahoma" w:hAnsi="Tahoma" w:cs="Tahoma"/>
                <w:color w:val="000000"/>
              </w:rPr>
            </w:pPr>
            <w:r>
              <w:rPr>
                <w:rFonts w:eastAsia="Times New Roman" w:cs="Times New Roman"/>
                <w:color w:val="000000"/>
              </w:rPr>
              <w:t>5) Divulgare e utilizzare materiali formativi e di aggiornamento, messi a disposizione a seguito dei corsi di formazione effettuati dai referenti.</w:t>
            </w:r>
          </w:p>
        </w:tc>
      </w:tr>
      <w:tr w:rsidR="007C498C">
        <w:trPr>
          <w:cantSplit/>
          <w:trHeight w:val="311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rFonts w:ascii="Tahoma" w:eastAsia="Tahoma" w:hAnsi="Tahoma" w:cs="Tahoma"/>
                <w:b/>
                <w:sz w:val="20"/>
                <w:szCs w:val="20"/>
              </w:rPr>
            </w:pPr>
            <w:r>
              <w:rPr>
                <w:rFonts w:ascii="Tahoma" w:eastAsia="Tahoma" w:hAnsi="Tahoma" w:cs="Tahoma"/>
                <w:b/>
                <w:sz w:val="20"/>
                <w:szCs w:val="20"/>
              </w:rPr>
              <w:lastRenderedPageBreak/>
              <w:t>Adozione di strategie di valutazione coerenti con prassi inclusive</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Rientrano nella più ampia definizione di BES tre categorie: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1. La disabilità;</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2. I disturbi evolutivi specifici (disturbi specifici dell</w:t>
            </w:r>
            <w:r>
              <w:t>’</w:t>
            </w:r>
            <w:r>
              <w:rPr>
                <w:rFonts w:eastAsia="Times New Roman" w:cs="Times New Roman"/>
                <w:color w:val="000000"/>
              </w:rPr>
              <w:t xml:space="preserve">apprendimento, deficit del linguaggio, deficit da disturbo </w:t>
            </w:r>
            <w:r>
              <w:t>dell'attenzione</w:t>
            </w:r>
            <w:r>
              <w:rPr>
                <w:rFonts w:eastAsia="Times New Roman" w:cs="Times New Roman"/>
                <w:color w:val="000000"/>
              </w:rPr>
              <w:t xml:space="preserve"> e dell</w:t>
            </w:r>
            <w:r>
              <w:t>’</w:t>
            </w:r>
            <w:r>
              <w:rPr>
                <w:rFonts w:eastAsia="Times New Roman" w:cs="Times New Roman"/>
                <w:color w:val="000000"/>
              </w:rPr>
              <w:t>iperattività, borderline cognitivo, ma anche altre tipologie di deficit o disturbo non altrimenti certificate);</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3. Lo svantaggio socio-economico, linguistico, culturale. </w:t>
            </w:r>
          </w:p>
          <w:p w:rsidR="007C498C" w:rsidRDefault="007C498C">
            <w:pPr>
              <w:widowControl/>
              <w:pBdr>
                <w:top w:val="nil"/>
                <w:left w:val="nil"/>
                <w:bottom w:val="nil"/>
                <w:right w:val="nil"/>
                <w:between w:val="nil"/>
              </w:pBdr>
              <w:jc w:val="both"/>
              <w:rPr>
                <w:rFonts w:eastAsia="Times New Roman" w:cs="Times New Roman"/>
                <w:color w:val="000000"/>
              </w:rPr>
            </w:pP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1. Per quanto riguarda la disabilità riconosciuta e tutelata dalla L.104/92, la normativa, per la scuola secondaria di secondo grado, stabilisce che è possibile seguire due percorsi didattici, specificati nel PEI,che portano a risultati differenti per quanto riguarda il conseguimento del titolo di studio. La valutazione per gli alunni con disabilità fa riferimento a quanto indicato nel Piano Educativo Individualizzato alla cui stesura partecipano i docenti in collaborazione con gli operatori socio sanitari e in accordo con i genitori.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I percorsi didattici prevedibili sono con:</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Programmazione con valutazione riconducibile agli obiettivi minimi, per cui  gli alunni saranno valutati in base al raggiungimento delle competenze minime; questa programmazione prevede la possibilità del  conseguimento  del diploma.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Programmazione Differenziata, cioè non riconducibile a quella della classe; questa programmazione, non permettendo il raggiungimento delle competenze minime stabilite per le discipline del curricolo scolastico, non prevede il  diploma, ma il rilascio di un attestato di frequenza con certificazione delle competenze raggiunte. </w:t>
            </w:r>
          </w:p>
          <w:p w:rsidR="007C498C" w:rsidRDefault="007C498C">
            <w:pPr>
              <w:widowControl/>
              <w:pBdr>
                <w:top w:val="nil"/>
                <w:left w:val="nil"/>
                <w:bottom w:val="nil"/>
                <w:right w:val="nil"/>
                <w:between w:val="nil"/>
              </w:pBdr>
              <w:jc w:val="both"/>
              <w:rPr>
                <w:rFonts w:eastAsia="Times New Roman" w:cs="Times New Roman"/>
                <w:color w:val="000000"/>
              </w:rPr>
            </w:pPr>
          </w:p>
          <w:tbl>
            <w:tblPr>
              <w:tblStyle w:val="a5"/>
              <w:tblW w:w="9397" w:type="dxa"/>
              <w:tblInd w:w="0" w:type="dxa"/>
              <w:tblBorders>
                <w:top w:val="nil"/>
                <w:left w:val="nil"/>
                <w:bottom w:val="nil"/>
                <w:right w:val="nil"/>
              </w:tblBorders>
              <w:tblLayout w:type="fixed"/>
              <w:tblLook w:val="0000"/>
            </w:tblPr>
            <w:tblGrid>
              <w:gridCol w:w="9397"/>
            </w:tblGrid>
            <w:tr w:rsidR="007C498C">
              <w:trPr>
                <w:cantSplit/>
                <w:trHeight w:val="2986"/>
                <w:tblHeader/>
              </w:trPr>
              <w:tc>
                <w:tcPr>
                  <w:tcW w:w="9397" w:type="dxa"/>
                  <w:shd w:val="clear" w:color="auto" w:fill="FFFFFF"/>
                </w:tcPr>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2. Gli alunni che presentano Disturbi Specifici dell</w:t>
                  </w:r>
                  <w:r>
                    <w:t>’</w:t>
                  </w:r>
                  <w:r>
                    <w:rPr>
                      <w:rFonts w:eastAsia="Times New Roman" w:cs="Times New Roman"/>
                      <w:color w:val="000000"/>
                    </w:rPr>
                    <w:t xml:space="preserve">Apprendimento sono tutelati dalla L. 170/2010 che riconosce la dislessia, la disgrafia, la disortografia e la discalculia quali disturbi specifici di apprendimento, e sono denominati DSA. Si manifestano in presenza di capacità cognitive adeguate e in assenza di patologie neurologiche, ma possono costituire una limitazione importante di alcune attività della vita quotidiana e del percorso formativo scolastico (art.1). </w:t>
                  </w:r>
                </w:p>
                <w:p w:rsidR="007C498C" w:rsidRDefault="00AF6A17">
                  <w:pPr>
                    <w:widowControl/>
                    <w:pBdr>
                      <w:top w:val="nil"/>
                      <w:left w:val="nil"/>
                      <w:bottom w:val="nil"/>
                      <w:right w:val="nil"/>
                      <w:between w:val="nil"/>
                    </w:pBdr>
                    <w:rPr>
                      <w:rFonts w:eastAsia="Times New Roman" w:cs="Times New Roman"/>
                      <w:color w:val="000000"/>
                    </w:rPr>
                  </w:pPr>
                  <w:r>
                    <w:rPr>
                      <w:rFonts w:eastAsia="Times New Roman" w:cs="Times New Roman"/>
                      <w:color w:val="000000"/>
                    </w:rPr>
                    <w:t>Gli studenti in possesso di certificazione di DSA, rilasciata dalla ASL o da una struttura accreditata, hanno diritto all'uso di una didattica individualizzata e personalizzata, con forme efficaci e flessibili di lavoro scolastico,</w:t>
                  </w:r>
                  <w:r>
                    <w:t xml:space="preserve"> </w:t>
                  </w:r>
                  <w:r>
                    <w:rPr>
                      <w:rFonts w:eastAsia="Times New Roman" w:cs="Times New Roman"/>
                      <w:color w:val="000000"/>
                    </w:rPr>
                    <w:t xml:space="preserve">quindi all’applicazione degli strumenti compensativi e delle misure dispensative necessarie al raggiungimento del loro successo formativo.  Tutti gli strumenti e gli accorgimenti utilizzati saranno accuratamente riportati nel piano personale dell’alunno, redatto dal Consiglio di Classe in accordo con la famiglia, tenuto conto della certificazione e delle indicazioni ivi inserite. </w:t>
                  </w:r>
                </w:p>
                <w:p w:rsidR="007C498C" w:rsidRDefault="00AF6A17">
                  <w:pPr>
                    <w:widowControl/>
                    <w:pBdr>
                      <w:top w:val="nil"/>
                      <w:left w:val="nil"/>
                      <w:bottom w:val="nil"/>
                      <w:right w:val="nil"/>
                      <w:between w:val="nil"/>
                    </w:pBdr>
                    <w:rPr>
                      <w:rFonts w:eastAsia="Times New Roman" w:cs="Times New Roman"/>
                      <w:color w:val="000000"/>
                    </w:rPr>
                  </w:pPr>
                  <w:r>
                    <w:rPr>
                      <w:rFonts w:eastAsia="Times New Roman" w:cs="Times New Roman"/>
                      <w:color w:val="000000"/>
                    </w:rPr>
                    <w:t>3. Gli alunni che presentano svantaggio socio-economico, linguistico, culturale, inseriti nel dettato del D.M. 27 dicembre 2012 vengono ammessi all’utilizzo degli strumenti compensativi riconosciuti ai DSA, con la possibilità di costruire un percorso didattico in grado di permettere loro di superare gradualmente le difficoltà da cui sono connotati</w:t>
                  </w:r>
                  <w:r>
                    <w:t>, previa valutazione presso ASL o enti accreditati o in possesso di certificazione. A cui fa seguito la stesura di un Piano Didattico Personalizzato da parte del Consiglio di classe in accordo con la famiglia.</w:t>
                  </w:r>
                </w:p>
                <w:p w:rsidR="007C498C" w:rsidRDefault="007C498C">
                  <w:pPr>
                    <w:widowControl/>
                    <w:pBdr>
                      <w:top w:val="nil"/>
                      <w:left w:val="nil"/>
                      <w:bottom w:val="nil"/>
                      <w:right w:val="nil"/>
                      <w:between w:val="nil"/>
                    </w:pBdr>
                    <w:rPr>
                      <w:rFonts w:eastAsia="Times New Roman" w:cs="Times New Roman"/>
                      <w:color w:val="000000"/>
                    </w:rPr>
                  </w:pPr>
                </w:p>
                <w:p w:rsidR="007C498C" w:rsidRDefault="00AF6A17">
                  <w:pPr>
                    <w:widowControl/>
                    <w:pBdr>
                      <w:top w:val="nil"/>
                      <w:left w:val="nil"/>
                      <w:bottom w:val="nil"/>
                      <w:right w:val="nil"/>
                      <w:between w:val="nil"/>
                    </w:pBdr>
                    <w:rPr>
                      <w:rFonts w:eastAsia="Times New Roman" w:cs="Times New Roman"/>
                      <w:color w:val="000000"/>
                    </w:rPr>
                  </w:pPr>
                  <w:r>
                    <w:rPr>
                      <w:rFonts w:eastAsia="Times New Roman" w:cs="Times New Roman"/>
                      <w:color w:val="000000"/>
                    </w:rPr>
                    <w:t xml:space="preserve">In base a quanto disposto dalle normative vigenti, la scuola si propone di elaborare in modo condiviso materiali didattici al fine di garantire </w:t>
                  </w:r>
                  <w:r>
                    <w:t>un'equa</w:t>
                  </w:r>
                  <w:r>
                    <w:rPr>
                      <w:rFonts w:eastAsia="Times New Roman" w:cs="Times New Roman"/>
                      <w:color w:val="000000"/>
                    </w:rPr>
                    <w:t xml:space="preserve"> valutazione “formativa” di alunni BES </w:t>
                  </w:r>
                </w:p>
                <w:p w:rsidR="007C498C" w:rsidRDefault="00AF6A17">
                  <w:pPr>
                    <w:widowControl/>
                    <w:pBdr>
                      <w:top w:val="nil"/>
                      <w:left w:val="nil"/>
                      <w:bottom w:val="nil"/>
                      <w:right w:val="nil"/>
                      <w:between w:val="nil"/>
                    </w:pBdr>
                    <w:rPr>
                      <w:rFonts w:eastAsia="Times New Roman" w:cs="Times New Roman"/>
                      <w:color w:val="000000"/>
                    </w:rPr>
                  </w:pPr>
                  <w:r>
                    <w:rPr>
                      <w:rFonts w:eastAsia="Times New Roman" w:cs="Times New Roman"/>
                      <w:color w:val="000000"/>
                    </w:rPr>
                    <w:t>I dipartimenti disciplinari dovranno  condividere i contenuti essenziali delle materie e stabilire il livello delle competenze di base che tutti gli alunni devono raggiungere oltre a predisporre griglie di valutazione condivise.</w:t>
                  </w:r>
                </w:p>
              </w:tc>
            </w:tr>
            <w:tr w:rsidR="007C498C">
              <w:trPr>
                <w:cantSplit/>
                <w:trHeight w:val="80"/>
                <w:tblHeader/>
              </w:trPr>
              <w:tc>
                <w:tcPr>
                  <w:tcW w:w="9397" w:type="dxa"/>
                </w:tcPr>
                <w:p w:rsidR="007C498C" w:rsidRDefault="007C498C">
                  <w:pPr>
                    <w:widowControl/>
                    <w:pBdr>
                      <w:top w:val="nil"/>
                      <w:left w:val="nil"/>
                      <w:bottom w:val="nil"/>
                      <w:right w:val="nil"/>
                      <w:between w:val="nil"/>
                    </w:pBdr>
                    <w:rPr>
                      <w:rFonts w:ascii="Tahoma" w:eastAsia="Tahoma" w:hAnsi="Tahoma" w:cs="Tahoma"/>
                      <w:color w:val="000000"/>
                      <w:sz w:val="20"/>
                      <w:szCs w:val="20"/>
                    </w:rPr>
                  </w:pPr>
                </w:p>
              </w:tc>
            </w:tr>
          </w:tbl>
          <w:p w:rsidR="007C498C" w:rsidRDefault="007C498C">
            <w:pPr>
              <w:tabs>
                <w:tab w:val="left" w:pos="720"/>
              </w:tabs>
              <w:jc w:val="both"/>
            </w:pPr>
          </w:p>
        </w:tc>
      </w:tr>
      <w:tr w:rsidR="007C498C">
        <w:trPr>
          <w:cantSplit/>
          <w:trHeight w:val="226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rFonts w:ascii="Tahoma" w:eastAsia="Tahoma" w:hAnsi="Tahoma" w:cs="Tahoma"/>
                <w:b/>
                <w:sz w:val="20"/>
                <w:szCs w:val="20"/>
              </w:rPr>
            </w:pPr>
            <w:r>
              <w:rPr>
                <w:rFonts w:ascii="Tahoma" w:eastAsia="Tahoma" w:hAnsi="Tahoma" w:cs="Tahoma"/>
                <w:b/>
                <w:sz w:val="20"/>
                <w:szCs w:val="20"/>
              </w:rPr>
              <w:lastRenderedPageBreak/>
              <w:t>Organizzazione dei diversi tipi di sostegno presenti all’interno della scuola</w:t>
            </w:r>
          </w:p>
          <w:p w:rsidR="007C498C" w:rsidRDefault="007C498C">
            <w:pPr>
              <w:widowControl/>
              <w:pBdr>
                <w:top w:val="nil"/>
                <w:left w:val="nil"/>
                <w:bottom w:val="nil"/>
                <w:right w:val="nil"/>
                <w:between w:val="nil"/>
              </w:pBdr>
              <w:jc w:val="both"/>
              <w:rPr>
                <w:rFonts w:ascii="Tahoma" w:eastAsia="Tahoma" w:hAnsi="Tahoma" w:cs="Tahoma"/>
                <w:sz w:val="20"/>
                <w:szCs w:val="20"/>
              </w:rPr>
            </w:pPr>
          </w:p>
          <w:p w:rsidR="007C498C" w:rsidRDefault="00AF6A17">
            <w:pPr>
              <w:widowControl/>
              <w:pBdr>
                <w:top w:val="nil"/>
                <w:left w:val="nil"/>
                <w:bottom w:val="nil"/>
                <w:right w:val="nil"/>
                <w:between w:val="nil"/>
              </w:pBdr>
              <w:jc w:val="both"/>
              <w:rPr>
                <w:rFonts w:ascii="Tahoma" w:eastAsia="Tahoma" w:hAnsi="Tahoma" w:cs="Tahoma"/>
                <w:sz w:val="20"/>
                <w:szCs w:val="20"/>
              </w:rPr>
            </w:pPr>
            <w:r>
              <w:rPr>
                <w:rFonts w:ascii="Tahoma" w:eastAsia="Tahoma" w:hAnsi="Tahoma" w:cs="Tahoma"/>
                <w:sz w:val="20"/>
                <w:szCs w:val="20"/>
              </w:rPr>
              <w:t>la nostra scuola si è sempre mossa nell’intento di creare rete d’interventi d’Inclusione, nel progetto curriculare dei singoli alunni. In questo periodo il GLI, ha elaborato e reso operativo delle attività di intervento all’inclusività nelle classi alle quali sono inseriti alunni con Bisogni Educativi Speciali su richiesta del Consiglio di classe. Le attività proposte si integrano con gli interventi dell’assistenza specialistica.</w:t>
            </w:r>
          </w:p>
          <w:p w:rsidR="007C498C" w:rsidRDefault="007C498C">
            <w:pPr>
              <w:widowControl/>
              <w:pBdr>
                <w:top w:val="nil"/>
                <w:left w:val="nil"/>
                <w:bottom w:val="nil"/>
                <w:right w:val="nil"/>
                <w:between w:val="nil"/>
              </w:pBdr>
              <w:jc w:val="both"/>
              <w:rPr>
                <w:rFonts w:ascii="Tahoma" w:eastAsia="Tahoma" w:hAnsi="Tahoma" w:cs="Tahoma"/>
                <w:sz w:val="20"/>
                <w:szCs w:val="20"/>
              </w:rPr>
            </w:pPr>
          </w:p>
          <w:p w:rsidR="007C498C" w:rsidRDefault="00AF6A17">
            <w:pPr>
              <w:widowControl/>
              <w:numPr>
                <w:ilvl w:val="0"/>
                <w:numId w:val="6"/>
              </w:numPr>
              <w:pBdr>
                <w:top w:val="nil"/>
                <w:left w:val="nil"/>
                <w:bottom w:val="nil"/>
                <w:right w:val="nil"/>
                <w:between w:val="nil"/>
              </w:pBdr>
              <w:jc w:val="both"/>
              <w:rPr>
                <w:rFonts w:ascii="Tahoma" w:eastAsia="Tahoma" w:hAnsi="Tahoma" w:cs="Tahoma"/>
                <w:sz w:val="20"/>
                <w:szCs w:val="20"/>
              </w:rPr>
            </w:pPr>
            <w:r>
              <w:rPr>
                <w:rFonts w:ascii="Tahoma" w:eastAsia="Tahoma" w:hAnsi="Tahoma" w:cs="Tahoma"/>
                <w:sz w:val="20"/>
                <w:szCs w:val="20"/>
              </w:rPr>
              <w:t xml:space="preserve">Sportello di Ascolto Psicologico rivolto ad alunni </w:t>
            </w:r>
          </w:p>
          <w:p w:rsidR="007C498C" w:rsidRDefault="00AF6A17">
            <w:pPr>
              <w:widowControl/>
              <w:numPr>
                <w:ilvl w:val="0"/>
                <w:numId w:val="6"/>
              </w:numPr>
              <w:pBdr>
                <w:top w:val="nil"/>
                <w:left w:val="nil"/>
                <w:bottom w:val="nil"/>
                <w:right w:val="nil"/>
                <w:between w:val="nil"/>
              </w:pBdr>
              <w:jc w:val="both"/>
              <w:rPr>
                <w:rFonts w:ascii="Tahoma" w:eastAsia="Tahoma" w:hAnsi="Tahoma" w:cs="Tahoma"/>
                <w:sz w:val="20"/>
                <w:szCs w:val="20"/>
              </w:rPr>
            </w:pPr>
            <w:r>
              <w:rPr>
                <w:rFonts w:ascii="Tahoma" w:eastAsia="Tahoma" w:hAnsi="Tahoma" w:cs="Tahoma"/>
                <w:sz w:val="20"/>
                <w:szCs w:val="20"/>
              </w:rPr>
              <w:t xml:space="preserve">Sportello di supporto educativo per gli operatori del Semiconvitto </w:t>
            </w:r>
          </w:p>
          <w:p w:rsidR="007C498C" w:rsidRDefault="00AF6A17">
            <w:pPr>
              <w:widowControl/>
              <w:numPr>
                <w:ilvl w:val="0"/>
                <w:numId w:val="6"/>
              </w:numPr>
              <w:pBdr>
                <w:top w:val="nil"/>
                <w:left w:val="nil"/>
                <w:bottom w:val="nil"/>
                <w:right w:val="nil"/>
                <w:between w:val="nil"/>
              </w:pBdr>
              <w:jc w:val="both"/>
              <w:rPr>
                <w:rFonts w:ascii="Tahoma" w:eastAsia="Tahoma" w:hAnsi="Tahoma" w:cs="Tahoma"/>
                <w:sz w:val="20"/>
                <w:szCs w:val="20"/>
              </w:rPr>
            </w:pPr>
            <w:r>
              <w:rPr>
                <w:rFonts w:ascii="Tahoma" w:eastAsia="Tahoma" w:hAnsi="Tahoma" w:cs="Tahoma"/>
                <w:sz w:val="20"/>
                <w:szCs w:val="20"/>
              </w:rPr>
              <w:t xml:space="preserve">Sportello didattico per recupero carenze. </w:t>
            </w:r>
          </w:p>
          <w:p w:rsidR="007C498C" w:rsidRDefault="00AF6A17">
            <w:pPr>
              <w:widowControl/>
              <w:numPr>
                <w:ilvl w:val="0"/>
                <w:numId w:val="6"/>
              </w:numPr>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Mettere a disposizione degli alunni con svantaggio economico libri di testo in comodato </w:t>
            </w:r>
            <w:r>
              <w:t>d'uso</w:t>
            </w:r>
            <w:r>
              <w:rPr>
                <w:rFonts w:eastAsia="Times New Roman" w:cs="Times New Roman"/>
                <w:color w:val="000000"/>
              </w:rPr>
              <w:t xml:space="preserve"> e device. </w:t>
            </w:r>
          </w:p>
          <w:p w:rsidR="007C498C" w:rsidRDefault="00AF6A17">
            <w:pPr>
              <w:widowControl/>
              <w:numPr>
                <w:ilvl w:val="0"/>
                <w:numId w:val="6"/>
              </w:numPr>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Informare le famiglie riguardo i bandi della Regione a favore degli alunni con svantaggio </w:t>
            </w:r>
          </w:p>
          <w:tbl>
            <w:tblPr>
              <w:tblStyle w:val="a6"/>
              <w:tblW w:w="9450" w:type="dxa"/>
              <w:tblInd w:w="0" w:type="dxa"/>
              <w:tblBorders>
                <w:top w:val="nil"/>
                <w:left w:val="nil"/>
                <w:bottom w:val="nil"/>
                <w:right w:val="nil"/>
              </w:tblBorders>
              <w:tblLayout w:type="fixed"/>
              <w:tblLook w:val="0000"/>
            </w:tblPr>
            <w:tblGrid>
              <w:gridCol w:w="9450"/>
            </w:tblGrid>
            <w:tr w:rsidR="007C498C">
              <w:trPr>
                <w:cantSplit/>
                <w:trHeight w:val="1182"/>
                <w:tblHeader/>
              </w:trPr>
              <w:tc>
                <w:tcPr>
                  <w:tcW w:w="9450" w:type="dxa"/>
                </w:tcPr>
                <w:p w:rsidR="007C498C" w:rsidRDefault="00AF6A17">
                  <w:pPr>
                    <w:numPr>
                      <w:ilvl w:val="0"/>
                      <w:numId w:val="6"/>
                    </w:numPr>
                  </w:pPr>
                  <w:r>
                    <w:t>Informare le famiglie riguardo i bandi dei comuni per le agevolazioni economiche sull'acquisto dei libri</w:t>
                  </w:r>
                  <w:r>
                    <w:rPr>
                      <w:color w:val="000000"/>
                    </w:rPr>
                    <w:t xml:space="preserve"> </w:t>
                  </w:r>
                </w:p>
                <w:p w:rsidR="007C498C" w:rsidRDefault="00AF6A17">
                  <w:pPr>
                    <w:numPr>
                      <w:ilvl w:val="0"/>
                      <w:numId w:val="6"/>
                    </w:numPr>
                  </w:pPr>
                  <w:r>
                    <w:rPr>
                      <w:color w:val="000000"/>
                    </w:rPr>
                    <w:t xml:space="preserve">Attivare lo Sportello psicologico rivolto ad alunni e famiglie. </w:t>
                  </w:r>
                </w:p>
                <w:p w:rsidR="007C498C" w:rsidRDefault="00AF6A17">
                  <w:pPr>
                    <w:numPr>
                      <w:ilvl w:val="0"/>
                      <w:numId w:val="6"/>
                    </w:numPr>
                  </w:pPr>
                  <w:r>
                    <w:rPr>
                      <w:color w:val="000000"/>
                    </w:rPr>
                    <w:t xml:space="preserve">Offrire Counseling alle famiglie e ai docenti. </w:t>
                  </w:r>
                </w:p>
                <w:p w:rsidR="007C498C" w:rsidRDefault="00AF6A17">
                  <w:pPr>
                    <w:numPr>
                      <w:ilvl w:val="0"/>
                      <w:numId w:val="6"/>
                    </w:numPr>
                  </w:pPr>
                  <w:r>
                    <w:rPr>
                      <w:color w:val="000000"/>
                    </w:rPr>
                    <w:t xml:space="preserve">Organizzare il servizio di istruzione domiciliare. </w:t>
                  </w:r>
                </w:p>
                <w:p w:rsidR="007C498C" w:rsidRDefault="007C498C"/>
                <w:p w:rsidR="007C498C" w:rsidRDefault="00AF6A17">
                  <w:r>
                    <w:t>Per il prossimo anno, al fine di creare più efficaci ricadute positive sugli alunni con BES, si prevede di:</w:t>
                  </w:r>
                </w:p>
                <w:p w:rsidR="007C498C" w:rsidRDefault="007C498C"/>
                <w:p w:rsidR="007C498C" w:rsidRDefault="00AF6A17">
                  <w:pPr>
                    <w:numPr>
                      <w:ilvl w:val="0"/>
                      <w:numId w:val="1"/>
                    </w:numPr>
                  </w:pPr>
                  <w:r>
                    <w:t>ridurre e superare i deficit rilevati</w:t>
                  </w:r>
                </w:p>
                <w:p w:rsidR="007C498C" w:rsidRDefault="00AF6A17">
                  <w:pPr>
                    <w:numPr>
                      <w:ilvl w:val="0"/>
                      <w:numId w:val="1"/>
                    </w:numPr>
                  </w:pPr>
                  <w:r>
                    <w:t>sviluppare delle “competenze compensative”, ossia dell’autonoma capacità di mettere in atto strategie e tecniche in grado di compensare e rendere la convivenza col proprio deficit la migliore possibile;</w:t>
                  </w:r>
                </w:p>
                <w:p w:rsidR="007C498C" w:rsidRDefault="00AF6A17">
                  <w:pPr>
                    <w:numPr>
                      <w:ilvl w:val="0"/>
                      <w:numId w:val="1"/>
                    </w:numPr>
                  </w:pPr>
                  <w:r>
                    <w:t>favorire il successo scolastico, agevolando la piena integrazione sociale e culturale;</w:t>
                  </w:r>
                </w:p>
                <w:p w:rsidR="007C498C" w:rsidRDefault="00AF6A17">
                  <w:pPr>
                    <w:numPr>
                      <w:ilvl w:val="0"/>
                      <w:numId w:val="1"/>
                    </w:numPr>
                  </w:pPr>
                  <w:r>
                    <w:t>ridurre i disagi formativi e relazionali</w:t>
                  </w:r>
                </w:p>
                <w:p w:rsidR="007C498C" w:rsidRDefault="00AF6A17">
                  <w:pPr>
                    <w:numPr>
                      <w:ilvl w:val="0"/>
                      <w:numId w:val="1"/>
                    </w:numPr>
                  </w:pPr>
                  <w:r>
                    <w:t>assicurare una formazione adeguata e lo sviluppo delle potenzialità</w:t>
                  </w:r>
                </w:p>
                <w:p w:rsidR="007C498C" w:rsidRDefault="007C498C">
                  <w:pPr>
                    <w:rPr>
                      <w:color w:val="000000"/>
                    </w:rPr>
                  </w:pPr>
                </w:p>
              </w:tc>
            </w:tr>
            <w:tr w:rsidR="007C498C">
              <w:trPr>
                <w:cantSplit/>
                <w:trHeight w:val="96"/>
                <w:tblHeader/>
              </w:trPr>
              <w:tc>
                <w:tcPr>
                  <w:tcW w:w="9450" w:type="dxa"/>
                </w:tcPr>
                <w:p w:rsidR="007C498C" w:rsidRDefault="007C498C">
                  <w:pPr>
                    <w:rPr>
                      <w:rFonts w:ascii="Tahoma" w:eastAsia="Tahoma" w:hAnsi="Tahoma" w:cs="Tahoma"/>
                      <w:color w:val="000000"/>
                      <w:sz w:val="20"/>
                      <w:szCs w:val="20"/>
                    </w:rPr>
                  </w:pPr>
                </w:p>
              </w:tc>
            </w:tr>
          </w:tbl>
          <w:p w:rsidR="007C498C" w:rsidRDefault="007C498C">
            <w:pPr>
              <w:tabs>
                <w:tab w:val="left" w:pos="720"/>
              </w:tabs>
              <w:jc w:val="both"/>
            </w:pPr>
          </w:p>
        </w:tc>
      </w:tr>
      <w:tr w:rsidR="007C498C">
        <w:trPr>
          <w:cantSplit/>
          <w:trHeight w:val="226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rFonts w:ascii="Tahoma" w:eastAsia="Tahoma" w:hAnsi="Tahoma" w:cs="Tahoma"/>
                <w:b/>
                <w:sz w:val="20"/>
                <w:szCs w:val="20"/>
              </w:rPr>
            </w:pPr>
            <w:r>
              <w:rPr>
                <w:rFonts w:ascii="Tahoma" w:eastAsia="Tahoma" w:hAnsi="Tahoma" w:cs="Tahoma"/>
                <w:b/>
                <w:sz w:val="20"/>
                <w:szCs w:val="20"/>
              </w:rPr>
              <w:t>Organizzazione dei diversi tipi di sostegno presenti all’esterno della scuola, in rapporto ai diversi servizi esistenti</w:t>
            </w:r>
          </w:p>
          <w:p w:rsidR="007C498C" w:rsidRDefault="00AF6A17">
            <w:pPr>
              <w:widowControl/>
              <w:numPr>
                <w:ilvl w:val="0"/>
                <w:numId w:val="11"/>
              </w:numPr>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Collaborazione con realtà sportive, ricreative, di volontariato al fine di far vivere agli alunni momenti di aggregazione e condivisione utili al superamento delle difficoltà. </w:t>
            </w:r>
          </w:p>
          <w:p w:rsidR="007C498C" w:rsidRDefault="00AF6A17">
            <w:pPr>
              <w:widowControl/>
              <w:numPr>
                <w:ilvl w:val="0"/>
                <w:numId w:val="11"/>
              </w:numPr>
              <w:pBdr>
                <w:top w:val="nil"/>
                <w:left w:val="nil"/>
                <w:bottom w:val="nil"/>
                <w:right w:val="nil"/>
                <w:between w:val="nil"/>
              </w:pBdr>
              <w:jc w:val="both"/>
              <w:rPr>
                <w:rFonts w:eastAsia="Times New Roman" w:cs="Times New Roman"/>
                <w:color w:val="000000"/>
              </w:rPr>
            </w:pPr>
            <w:r>
              <w:rPr>
                <w:rFonts w:eastAsia="Times New Roman" w:cs="Times New Roman"/>
                <w:color w:val="000000"/>
              </w:rPr>
              <w:t>Potenziamento della rete territoriale di collaborazioni , ampliando i rapporti esistenti</w:t>
            </w:r>
          </w:p>
          <w:p w:rsidR="007C498C" w:rsidRDefault="00AF6A17">
            <w:pPr>
              <w:widowControl/>
              <w:numPr>
                <w:ilvl w:val="0"/>
                <w:numId w:val="11"/>
              </w:numPr>
              <w:pBdr>
                <w:top w:val="nil"/>
                <w:left w:val="nil"/>
                <w:bottom w:val="nil"/>
                <w:right w:val="nil"/>
                <w:between w:val="nil"/>
              </w:pBdr>
              <w:jc w:val="both"/>
              <w:rPr>
                <w:rFonts w:eastAsia="Times New Roman" w:cs="Times New Roman"/>
                <w:color w:val="000000"/>
              </w:rPr>
            </w:pPr>
            <w:r>
              <w:rPr>
                <w:rFonts w:eastAsia="Times New Roman" w:cs="Times New Roman"/>
                <w:color w:val="000000"/>
              </w:rPr>
              <w:t>Partecipazione ad incontri organizzati da Enti di interesse</w:t>
            </w:r>
          </w:p>
          <w:p w:rsidR="007C498C" w:rsidRDefault="00AF6A17" w:rsidP="007C2048">
            <w:pPr>
              <w:widowControl/>
              <w:numPr>
                <w:ilvl w:val="0"/>
                <w:numId w:val="11"/>
              </w:numPr>
              <w:pBdr>
                <w:top w:val="nil"/>
                <w:left w:val="nil"/>
                <w:bottom w:val="nil"/>
                <w:right w:val="nil"/>
                <w:between w:val="nil"/>
              </w:pBdr>
              <w:jc w:val="both"/>
            </w:pPr>
            <w:r>
              <w:t xml:space="preserve">Effettuazioni di consultazioni informativo-gestionale </w:t>
            </w:r>
          </w:p>
          <w:p w:rsidR="007C498C" w:rsidRDefault="00AF6A17">
            <w:pPr>
              <w:widowControl/>
              <w:numPr>
                <w:ilvl w:val="0"/>
                <w:numId w:val="11"/>
              </w:numPr>
              <w:pBdr>
                <w:top w:val="nil"/>
                <w:left w:val="nil"/>
                <w:bottom w:val="nil"/>
                <w:right w:val="nil"/>
                <w:between w:val="nil"/>
              </w:pBdr>
              <w:jc w:val="both"/>
            </w:pPr>
            <w:r>
              <w:t>Adesione ai programmi di Formazione promossi dal CTS, promotori di richieste e suggerimenti riguardo le iniziative progettuali del CTS stesso.</w:t>
            </w:r>
          </w:p>
          <w:p w:rsidR="007C498C" w:rsidRDefault="00AF6A17">
            <w:pPr>
              <w:widowControl/>
              <w:numPr>
                <w:ilvl w:val="0"/>
                <w:numId w:val="11"/>
              </w:numPr>
              <w:pBdr>
                <w:top w:val="nil"/>
                <w:left w:val="nil"/>
                <w:bottom w:val="nil"/>
                <w:right w:val="nil"/>
                <w:between w:val="nil"/>
              </w:pBdr>
              <w:jc w:val="both"/>
            </w:pPr>
            <w:r>
              <w:t>Corsi formazione docenti sulla valutazione degli alunni con BES</w:t>
            </w:r>
          </w:p>
          <w:p w:rsidR="007C498C" w:rsidRDefault="00AF6A17">
            <w:pPr>
              <w:widowControl/>
              <w:numPr>
                <w:ilvl w:val="0"/>
                <w:numId w:val="11"/>
              </w:numPr>
              <w:pBdr>
                <w:top w:val="nil"/>
                <w:left w:val="nil"/>
                <w:bottom w:val="nil"/>
                <w:right w:val="nil"/>
                <w:between w:val="nil"/>
              </w:pBdr>
              <w:jc w:val="both"/>
            </w:pPr>
            <w:r>
              <w:t>Coinvolgimento di ulteriori associazioni presenti nel territorio per la gestione di tematiche inerenti il disagio, la prevenzione della salute e la sicurezza</w:t>
            </w:r>
          </w:p>
          <w:p w:rsidR="007C498C" w:rsidRDefault="00AF6A17">
            <w:pPr>
              <w:widowControl/>
              <w:numPr>
                <w:ilvl w:val="0"/>
                <w:numId w:val="11"/>
              </w:numPr>
              <w:pBdr>
                <w:top w:val="nil"/>
                <w:left w:val="nil"/>
                <w:bottom w:val="nil"/>
                <w:right w:val="nil"/>
                <w:between w:val="nil"/>
              </w:pBdr>
              <w:jc w:val="both"/>
            </w:pPr>
            <w:r>
              <w:t>Coinvolgimento di associazione per una migliore applicazione del protocollo di accoglienza degli alunni con esperienze di migrazione.</w:t>
            </w:r>
          </w:p>
          <w:p w:rsidR="007C498C" w:rsidRDefault="007C498C">
            <w:pPr>
              <w:widowControl/>
              <w:pBdr>
                <w:top w:val="nil"/>
                <w:left w:val="nil"/>
                <w:bottom w:val="nil"/>
                <w:right w:val="nil"/>
                <w:between w:val="nil"/>
              </w:pBdr>
              <w:ind w:left="360"/>
              <w:jc w:val="both"/>
              <w:rPr>
                <w:rFonts w:ascii="Tahoma" w:eastAsia="Tahoma" w:hAnsi="Tahoma" w:cs="Tahoma"/>
                <w:color w:val="000000"/>
              </w:rPr>
            </w:pPr>
          </w:p>
        </w:tc>
      </w:tr>
      <w:tr w:rsidR="007C498C">
        <w:trPr>
          <w:cantSplit/>
          <w:trHeight w:val="226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b/>
              </w:rPr>
            </w:pPr>
            <w:r>
              <w:rPr>
                <w:b/>
              </w:rPr>
              <w:lastRenderedPageBreak/>
              <w:t>Ruolo delle famiglie e della comunità nel dare supporto e nel partecipare alle decisioni che riguardano l’organizzazione delle attività educative</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La famiglia partecipa alle attività educative attraverso: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1) i compiti istituzionali (Consiglio d</w:t>
            </w:r>
            <w:r>
              <w:t>’</w:t>
            </w:r>
            <w:r>
              <w:rPr>
                <w:rFonts w:eastAsia="Times New Roman" w:cs="Times New Roman"/>
                <w:color w:val="000000"/>
              </w:rPr>
              <w:t xml:space="preserve">Istituto, Consiglio di Classe, PF, GLO, PEI e PDP. Nel caso di studente con disabilità deve essere messa al corrente degli obiettivi propri del servizio di assistenza specialistica in linea con il complessivo progetto di vita della persona).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2) Contatti diretti scuola-famiglia: incontri scuola-famiglia.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L’Istituto si ripropone di incrementare la partecipazione e il coinvolgimento delle famiglie ai momenti di confronto con i docenti </w:t>
            </w:r>
          </w:p>
          <w:p w:rsidR="007C498C" w:rsidRDefault="007C498C">
            <w:pPr>
              <w:widowControl/>
              <w:pBdr>
                <w:top w:val="nil"/>
                <w:left w:val="nil"/>
                <w:bottom w:val="nil"/>
                <w:right w:val="nil"/>
                <w:between w:val="nil"/>
              </w:pBdr>
              <w:jc w:val="both"/>
              <w:rPr>
                <w:rFonts w:eastAsia="Times New Roman" w:cs="Times New Roman"/>
                <w:color w:val="000000"/>
              </w:rPr>
            </w:pPr>
          </w:p>
        </w:tc>
      </w:tr>
      <w:tr w:rsidR="007C498C">
        <w:trPr>
          <w:cantSplit/>
          <w:trHeight w:val="226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b/>
              </w:rPr>
            </w:pPr>
            <w:r>
              <w:rPr>
                <w:b/>
              </w:rPr>
              <w:t>Sviluppo di un curricolo attento alle diversità e alla promozione di percorsi formativi inclusivi</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Il  Consiglio di Classe adotta i curricoli sulla base delle osservazioni emerse e/o della documentazione prodotta  per   la realizzazione di percorsi che consentano ad ognuno di sviluppare le proprie potenzialità pur definendo  per tutti come obiettivo il raggiungimento delle competenze di base , ossia:</w:t>
            </w:r>
          </w:p>
          <w:p w:rsidR="007C498C" w:rsidRDefault="007C498C">
            <w:pPr>
              <w:widowControl/>
              <w:pBdr>
                <w:top w:val="nil"/>
                <w:left w:val="nil"/>
                <w:bottom w:val="nil"/>
                <w:right w:val="nil"/>
                <w:between w:val="nil"/>
              </w:pBdr>
              <w:jc w:val="both"/>
              <w:rPr>
                <w:rFonts w:eastAsia="Times New Roman" w:cs="Times New Roman"/>
                <w:color w:val="000000"/>
              </w:rPr>
            </w:pP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a) la comunicazione nella madre lingua</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b) la comunicazione nelle lingue straniere</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c)le competenze matematiche, scientifiche e tecnologiche.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d) la competenza digitale.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e) imparare ad imparare.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f) le competenze sociali e civili.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g) lo spirito d‟iniziativa e di imprenditorialità.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h) consapevolezza ed espressione culturale.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i) Competenze di indirizzo </w:t>
            </w:r>
          </w:p>
          <w:p w:rsidR="007C498C" w:rsidRDefault="007C498C">
            <w:pPr>
              <w:widowControl/>
              <w:pBdr>
                <w:top w:val="nil"/>
                <w:left w:val="nil"/>
                <w:bottom w:val="nil"/>
                <w:right w:val="nil"/>
                <w:between w:val="nil"/>
              </w:pBdr>
              <w:jc w:val="both"/>
              <w:rPr>
                <w:rFonts w:eastAsia="Times New Roman" w:cs="Times New Roman"/>
                <w:color w:val="000000"/>
              </w:rPr>
            </w:pP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b/>
                <w:color w:val="000000"/>
              </w:rPr>
              <w:t xml:space="preserve">Metodologie didattiche: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Apprendimento cooperativo; Apprendimento tra pari; Didattica laboratoriale; Didattica a Distanza; Approccio multimodale nelle strategie di apprendimento,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Sviluppo di procedure strutturate e sequenziali;  Sostegno alla motivazione;  Sostegno all‟autostima;  Guida all’alunno nella predisposizione personale di schemi, mappe e diagrammi.  </w:t>
            </w:r>
          </w:p>
        </w:tc>
      </w:tr>
      <w:tr w:rsidR="007C498C">
        <w:trPr>
          <w:cantSplit/>
          <w:trHeight w:val="226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b/>
              </w:rPr>
            </w:pPr>
            <w:r>
              <w:rPr>
                <w:b/>
              </w:rPr>
              <w:lastRenderedPageBreak/>
              <w:t>Valorizzazione delle risorse esistenti</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La scuola vuole migliorare </w:t>
            </w:r>
            <w:r>
              <w:t>l'obiettivo</w:t>
            </w:r>
            <w:r>
              <w:rPr>
                <w:rFonts w:eastAsia="Times New Roman" w:cs="Times New Roman"/>
                <w:color w:val="000000"/>
              </w:rPr>
              <w:t xml:space="preserve"> di una didattica inclusiva, attraverso una progettazione collegiale che valorizzi principalmente le risorse interne attraverso: </w:t>
            </w:r>
          </w:p>
          <w:p w:rsidR="007C498C" w:rsidRDefault="0013182E">
            <w:pPr>
              <w:widowControl/>
              <w:pBdr>
                <w:top w:val="nil"/>
                <w:left w:val="nil"/>
                <w:bottom w:val="nil"/>
                <w:right w:val="nil"/>
                <w:between w:val="nil"/>
              </w:pBdr>
              <w:jc w:val="both"/>
              <w:rPr>
                <w:rFonts w:eastAsia="Times New Roman" w:cs="Times New Roman"/>
                <w:color w:val="000000"/>
              </w:rPr>
            </w:pPr>
            <w:sdt>
              <w:sdtPr>
                <w:tag w:val="goog_rdk_0"/>
                <w:id w:val="-2141972811"/>
              </w:sdtPr>
              <w:sdtContent>
                <w:r w:rsidR="00AF6A17">
                  <w:rPr>
                    <w:rFonts w:ascii="Arial Unicode MS" w:eastAsia="Arial Unicode MS" w:hAnsi="Arial Unicode MS" w:cs="Arial Unicode MS"/>
                    <w:color w:val="000000"/>
                  </w:rPr>
                  <w:t xml:space="preserve">✔ Monitoraggio e censimento delle risorse professionali specifiche interne disponibili con docenti curricolari che collaborano nelle attività laboratoriali, nel percorso di PCTO,  Collaboratori scolastici coinvolti nei progetti laboratoriali e di inclusione; addetti </w:t>
                </w:r>
              </w:sdtContent>
            </w:sdt>
            <w:r w:rsidR="00AF6A17">
              <w:t>all'azienda</w:t>
            </w:r>
            <w:r w:rsidR="00AF6A17">
              <w:rPr>
                <w:rFonts w:eastAsia="Times New Roman" w:cs="Times New Roman"/>
                <w:color w:val="000000"/>
              </w:rPr>
              <w:t xml:space="preserve"> agricola e addetti alla ristorazione della scuola coinvolti nei progetti laboratoriali e di inclusione (tutor aziendali);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assistenza specialistica che è coinvolta nelle attività inclusive promosse dalla scuola. Utilizzo degli spazi e degli strumenti della scuola; Implementazione delle postazioni PC per gli alunni.  Specifica formazione del personale sulle tematiche dell‟inclusività.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Coinvolgimento dei docenti che abbiano specifica professionalità nella progettazione di percorsi di vita e lavorativi in continuità con il curricolo scolastico. </w:t>
            </w:r>
          </w:p>
          <w:p w:rsidR="007C498C" w:rsidRDefault="00AF6A17">
            <w:pPr>
              <w:widowControl/>
              <w:numPr>
                <w:ilvl w:val="0"/>
                <w:numId w:val="8"/>
              </w:numPr>
              <w:pBdr>
                <w:top w:val="nil"/>
                <w:left w:val="nil"/>
                <w:bottom w:val="nil"/>
                <w:right w:val="nil"/>
                <w:between w:val="nil"/>
              </w:pBdr>
              <w:jc w:val="both"/>
            </w:pPr>
            <w:r>
              <w:t>GLI: organizzazione più efficace degli interventi e valorizzazione delle singole componenti del GLI</w:t>
            </w:r>
          </w:p>
          <w:p w:rsidR="007C498C" w:rsidRDefault="007C498C">
            <w:pPr>
              <w:widowControl/>
              <w:pBdr>
                <w:top w:val="nil"/>
                <w:left w:val="nil"/>
                <w:bottom w:val="nil"/>
                <w:right w:val="nil"/>
                <w:between w:val="nil"/>
              </w:pBdr>
              <w:jc w:val="both"/>
            </w:pPr>
          </w:p>
          <w:p w:rsidR="007C498C" w:rsidRDefault="007C498C">
            <w:pPr>
              <w:widowControl/>
              <w:pBdr>
                <w:top w:val="nil"/>
                <w:left w:val="nil"/>
                <w:bottom w:val="nil"/>
                <w:right w:val="nil"/>
                <w:between w:val="nil"/>
              </w:pBdr>
              <w:jc w:val="both"/>
              <w:rPr>
                <w:rFonts w:eastAsia="Times New Roman" w:cs="Times New Roman"/>
                <w:color w:val="000000"/>
              </w:rPr>
            </w:pPr>
          </w:p>
        </w:tc>
      </w:tr>
      <w:tr w:rsidR="007C498C">
        <w:trPr>
          <w:cantSplit/>
          <w:trHeight w:val="226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b/>
              </w:rPr>
            </w:pPr>
            <w:r>
              <w:rPr>
                <w:b/>
              </w:rPr>
              <w:t>Acquisizione e distribuzione di risorse aggiuntive utilizzabili per la realizzazione dei progetti di inclusione</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Per la realizzazione </w:t>
            </w:r>
            <w:r>
              <w:t>dell'inclusione</w:t>
            </w:r>
            <w:r>
              <w:rPr>
                <w:rFonts w:eastAsia="Times New Roman" w:cs="Times New Roman"/>
                <w:color w:val="000000"/>
              </w:rPr>
              <w:t xml:space="preserve"> scolastica, la scuola rende disponibili spazi fisici, sussidi informatici e materiali per la pianificazione di una didattica personalizzata, mediante progetti proposti e realizzati in collaborazione con la Cooperativa di Assistenza Specialistica designata per il prossimo anno </w:t>
            </w:r>
          </w:p>
        </w:tc>
      </w:tr>
      <w:tr w:rsidR="007C498C">
        <w:trPr>
          <w:cantSplit/>
          <w:trHeight w:val="2268"/>
          <w:tblHeader/>
        </w:trPr>
        <w:tc>
          <w:tcPr>
            <w:tcW w:w="9788" w:type="dxa"/>
            <w:tcBorders>
              <w:top w:val="single" w:sz="4" w:space="0" w:color="000000"/>
              <w:left w:val="single" w:sz="4" w:space="0" w:color="000000"/>
              <w:bottom w:val="single" w:sz="4" w:space="0" w:color="000000"/>
              <w:right w:val="single" w:sz="4" w:space="0" w:color="000000"/>
            </w:tcBorders>
            <w:shd w:val="clear" w:color="auto" w:fill="auto"/>
          </w:tcPr>
          <w:p w:rsidR="007C498C" w:rsidRDefault="00AF6A17">
            <w:pPr>
              <w:tabs>
                <w:tab w:val="left" w:pos="720"/>
              </w:tabs>
              <w:jc w:val="both"/>
              <w:rPr>
                <w:b/>
              </w:rPr>
            </w:pPr>
            <w:r>
              <w:rPr>
                <w:b/>
              </w:rPr>
              <w:t>Attenzione dedicata alle fasi di transizione che scandiscono l’ingresso nel sistema scolastico, la continuità tra i diversi ordini di scuola e il successivo inserimento lavorativo</w:t>
            </w:r>
          </w:p>
          <w:p w:rsidR="007C498C" w:rsidRDefault="00AF6A17">
            <w:pPr>
              <w:widowControl/>
              <w:pBdr>
                <w:top w:val="nil"/>
                <w:left w:val="nil"/>
                <w:bottom w:val="nil"/>
                <w:right w:val="nil"/>
                <w:between w:val="nil"/>
              </w:pBdr>
              <w:jc w:val="both"/>
              <w:rPr>
                <w:rFonts w:eastAsia="Times New Roman" w:cs="Times New Roman"/>
                <w:color w:val="000000"/>
              </w:rPr>
            </w:pPr>
            <w:r>
              <w:t>L'istituto</w:t>
            </w:r>
            <w:r>
              <w:rPr>
                <w:rFonts w:eastAsia="Times New Roman" w:cs="Times New Roman"/>
                <w:color w:val="000000"/>
              </w:rPr>
              <w:t xml:space="preserve"> concepisce l</w:t>
            </w:r>
            <w:r>
              <w:t>’i</w:t>
            </w:r>
            <w:r>
              <w:rPr>
                <w:rFonts w:eastAsia="Times New Roman" w:cs="Times New Roman"/>
                <w:color w:val="000000"/>
              </w:rPr>
              <w:t xml:space="preserve">ntero percorso scolastico e il successivo inserimento lavorativo come un processo di formazione e valorizzazione della personalità in continuità (progetto di vita), pertanto promuove: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 La continuità tra i vari ordini di scuola durante tutto il curricolo attraverso incontri informativi e scambi di esperienze .</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In  settembre accoglienza degli alunni neo iscritti e dei genitori e nel periodo precedente le iscrizioni, si prevedono incontri con famiglie.</w:t>
            </w:r>
          </w:p>
          <w:p w:rsidR="007C498C" w:rsidRDefault="00AF6A17">
            <w:pPr>
              <w:widowControl/>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Potenziamento dei rapporti con gli Enti e aziende del territorio, gli ordini professionali e le associazioni di volontariato, per </w:t>
            </w:r>
            <w:r>
              <w:t>l'inserimento</w:t>
            </w:r>
            <w:r>
              <w:rPr>
                <w:rFonts w:eastAsia="Times New Roman" w:cs="Times New Roman"/>
                <w:color w:val="000000"/>
              </w:rPr>
              <w:t xml:space="preserve"> formativo e lavorativo degli alunni </w:t>
            </w:r>
            <w:r>
              <w:t>all'interno</w:t>
            </w:r>
            <w:r>
              <w:rPr>
                <w:rFonts w:eastAsia="Times New Roman" w:cs="Times New Roman"/>
                <w:color w:val="000000"/>
              </w:rPr>
              <w:t xml:space="preserve"> di percorsi professionalizzanti </w:t>
            </w:r>
          </w:p>
          <w:p w:rsidR="007C498C" w:rsidRDefault="007C498C">
            <w:pPr>
              <w:widowControl/>
              <w:pBdr>
                <w:top w:val="nil"/>
                <w:left w:val="nil"/>
                <w:bottom w:val="nil"/>
                <w:right w:val="nil"/>
                <w:between w:val="nil"/>
              </w:pBdr>
              <w:jc w:val="both"/>
              <w:rPr>
                <w:rFonts w:eastAsia="Times New Roman" w:cs="Times New Roman"/>
                <w:color w:val="000000"/>
              </w:rPr>
            </w:pPr>
          </w:p>
          <w:p w:rsidR="007C498C" w:rsidRDefault="007C498C">
            <w:pPr>
              <w:widowControl/>
              <w:pBdr>
                <w:top w:val="nil"/>
                <w:left w:val="nil"/>
                <w:bottom w:val="nil"/>
                <w:right w:val="nil"/>
                <w:between w:val="nil"/>
              </w:pBdr>
              <w:jc w:val="both"/>
              <w:rPr>
                <w:rFonts w:eastAsia="Times New Roman" w:cs="Times New Roman"/>
                <w:color w:val="000000"/>
              </w:rPr>
            </w:pPr>
          </w:p>
        </w:tc>
      </w:tr>
    </w:tbl>
    <w:p w:rsidR="007C498C" w:rsidRDefault="007C498C">
      <w:pPr>
        <w:rPr>
          <w:rFonts w:ascii="Tahoma" w:eastAsia="Tahoma" w:hAnsi="Tahoma" w:cs="Tahoma"/>
          <w:sz w:val="20"/>
          <w:szCs w:val="20"/>
        </w:rPr>
      </w:pPr>
    </w:p>
    <w:p w:rsidR="007C498C" w:rsidRDefault="00AF6A17">
      <w:pPr>
        <w:rPr>
          <w:rFonts w:ascii="Tahoma" w:eastAsia="Tahoma" w:hAnsi="Tahoma" w:cs="Tahoma"/>
          <w:b/>
          <w:sz w:val="20"/>
          <w:szCs w:val="20"/>
        </w:rPr>
      </w:pPr>
      <w:r>
        <w:rPr>
          <w:rFonts w:ascii="Tahoma" w:eastAsia="Tahoma" w:hAnsi="Tahoma" w:cs="Tahoma"/>
          <w:b/>
          <w:sz w:val="20"/>
          <w:szCs w:val="20"/>
        </w:rPr>
        <w:t>Approvato dal Gruppo di Lavoro per l’Inclusione in data _________</w:t>
      </w:r>
    </w:p>
    <w:p w:rsidR="007C498C" w:rsidRDefault="00AF6A17">
      <w:r>
        <w:rPr>
          <w:rFonts w:ascii="Tahoma" w:eastAsia="Tahoma" w:hAnsi="Tahoma" w:cs="Tahoma"/>
          <w:b/>
          <w:sz w:val="20"/>
          <w:szCs w:val="20"/>
        </w:rPr>
        <w:t>Deliberato dal Collegio dei Docenti in data _________</w:t>
      </w:r>
    </w:p>
    <w:p w:rsidR="007C498C" w:rsidRDefault="007C498C">
      <w:pPr>
        <w:rPr>
          <w:rFonts w:ascii="Tahoma" w:eastAsia="Tahoma" w:hAnsi="Tahoma" w:cs="Tahoma"/>
          <w:b/>
          <w:sz w:val="20"/>
          <w:szCs w:val="20"/>
        </w:rPr>
      </w:pPr>
    </w:p>
    <w:p w:rsidR="007C498C" w:rsidRDefault="007C498C">
      <w:pPr>
        <w:jc w:val="both"/>
        <w:rPr>
          <w:rFonts w:ascii="Calibri" w:eastAsia="Calibri" w:hAnsi="Calibri" w:cs="Calibri"/>
        </w:rPr>
      </w:pPr>
    </w:p>
    <w:sectPr w:rsidR="007C498C" w:rsidSect="007C498C">
      <w:headerReference w:type="default" r:id="rId8"/>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154" w:rsidRDefault="006E2154" w:rsidP="007C498C">
      <w:r>
        <w:separator/>
      </w:r>
    </w:p>
  </w:endnote>
  <w:endnote w:type="continuationSeparator" w:id="1">
    <w:p w:rsidR="006E2154" w:rsidRDefault="006E2154" w:rsidP="007C4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Balthaza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154" w:rsidRDefault="006E2154" w:rsidP="007C498C">
      <w:r>
        <w:separator/>
      </w:r>
    </w:p>
  </w:footnote>
  <w:footnote w:type="continuationSeparator" w:id="1">
    <w:p w:rsidR="006E2154" w:rsidRDefault="006E2154" w:rsidP="007C4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8C" w:rsidRDefault="007C498C">
    <w:pPr>
      <w:widowControl/>
      <w:pBdr>
        <w:top w:val="nil"/>
        <w:left w:val="nil"/>
        <w:bottom w:val="nil"/>
        <w:right w:val="nil"/>
        <w:between w:val="nil"/>
      </w:pBdr>
      <w:tabs>
        <w:tab w:val="center" w:pos="4819"/>
        <w:tab w:val="right" w:pos="9638"/>
      </w:tabs>
      <w:rPr>
        <w:rFonts w:ascii="Calibri" w:eastAsia="Calibri" w:hAnsi="Calibri" w:cs="Calibri"/>
        <w:color w:val="000000"/>
        <w:sz w:val="22"/>
        <w:szCs w:val="22"/>
      </w:rPr>
    </w:pPr>
  </w:p>
  <w:p w:rsidR="007C498C" w:rsidRDefault="007C498C">
    <w:pPr>
      <w:rPr>
        <w:rFonts w:ascii="Balthazar" w:eastAsia="Balthazar" w:hAnsi="Balthazar" w:cs="Balthazar"/>
        <w:smallCaps/>
        <w:sz w:val="18"/>
        <w:szCs w:val="18"/>
      </w:rPr>
    </w:pPr>
  </w:p>
  <w:tbl>
    <w:tblPr>
      <w:tblStyle w:val="a7"/>
      <w:tblW w:w="9853" w:type="dxa"/>
      <w:tblInd w:w="0" w:type="dxa"/>
      <w:tblBorders>
        <w:top w:val="nil"/>
        <w:left w:val="nil"/>
        <w:bottom w:val="nil"/>
        <w:right w:val="nil"/>
        <w:insideH w:val="nil"/>
        <w:insideV w:val="nil"/>
      </w:tblBorders>
      <w:tblLayout w:type="fixed"/>
      <w:tblLook w:val="0400"/>
    </w:tblPr>
    <w:tblGrid>
      <w:gridCol w:w="7394"/>
      <w:gridCol w:w="2459"/>
    </w:tblGrid>
    <w:tr w:rsidR="007C498C">
      <w:trPr>
        <w:cantSplit/>
        <w:trHeight w:val="1600"/>
        <w:tblHeader/>
      </w:trPr>
      <w:tc>
        <w:tcPr>
          <w:tcW w:w="7394" w:type="dxa"/>
        </w:tcPr>
        <w:p w:rsidR="007C498C" w:rsidRDefault="00AF6A17">
          <w:pPr>
            <w:jc w:val="center"/>
            <w:rPr>
              <w:rFonts w:ascii="Balthazar" w:eastAsia="Balthazar" w:hAnsi="Balthazar" w:cs="Balthazar"/>
              <w:smallCaps/>
              <w:sz w:val="18"/>
              <w:szCs w:val="18"/>
            </w:rPr>
          </w:pPr>
          <w:r>
            <w:rPr>
              <w:rFonts w:ascii="Balthazar" w:eastAsia="Balthazar" w:hAnsi="Balthazar" w:cs="Balthazar"/>
              <w:smallCaps/>
              <w:sz w:val="18"/>
              <w:szCs w:val="18"/>
            </w:rPr>
            <w:t>Ministero dell’Istruzione</w:t>
          </w:r>
        </w:p>
        <w:p w:rsidR="007C498C" w:rsidRDefault="00AF6A17">
          <w:pPr>
            <w:jc w:val="center"/>
            <w:rPr>
              <w:rFonts w:ascii="Balthazar" w:eastAsia="Balthazar" w:hAnsi="Balthazar" w:cs="Balthazar"/>
              <w:smallCaps/>
              <w:sz w:val="18"/>
              <w:szCs w:val="18"/>
            </w:rPr>
          </w:pPr>
          <w:r>
            <w:rPr>
              <w:rFonts w:ascii="Balthazar" w:eastAsia="Balthazar" w:hAnsi="Balthazar" w:cs="Balthazar"/>
              <w:smallCaps/>
              <w:sz w:val="18"/>
              <w:szCs w:val="18"/>
            </w:rPr>
            <w:t>Ufficio Scolastico Regionale per il Lazio</w:t>
          </w:r>
        </w:p>
        <w:p w:rsidR="007C498C" w:rsidRDefault="00AF6A17">
          <w:pPr>
            <w:jc w:val="center"/>
            <w:rPr>
              <w:rFonts w:ascii="Balthazar" w:eastAsia="Balthazar" w:hAnsi="Balthazar" w:cs="Balthazar"/>
              <w:b/>
              <w:smallCaps/>
              <w:sz w:val="28"/>
              <w:szCs w:val="28"/>
            </w:rPr>
          </w:pPr>
          <w:r>
            <w:rPr>
              <w:rFonts w:ascii="Balthazar" w:eastAsia="Balthazar" w:hAnsi="Balthazar" w:cs="Balthazar"/>
              <w:b/>
              <w:smallCaps/>
              <w:sz w:val="28"/>
              <w:szCs w:val="28"/>
            </w:rPr>
            <w:t>Istituto di Istruzione Superiore "San Benedetto"</w:t>
          </w:r>
        </w:p>
        <w:p w:rsidR="007C498C" w:rsidRDefault="00AF6A17">
          <w:pPr>
            <w:jc w:val="center"/>
            <w:rPr>
              <w:rFonts w:ascii="Balthazar" w:eastAsia="Balthazar" w:hAnsi="Balthazar" w:cs="Balthazar"/>
              <w:smallCaps/>
              <w:sz w:val="16"/>
              <w:szCs w:val="16"/>
            </w:rPr>
          </w:pPr>
          <w:r>
            <w:rPr>
              <w:rFonts w:ascii="Balthazar" w:eastAsia="Balthazar" w:hAnsi="Balthazar" w:cs="Balthazar"/>
              <w:smallCaps/>
              <w:sz w:val="16"/>
              <w:szCs w:val="16"/>
            </w:rPr>
            <w:t>- Latina –</w:t>
          </w:r>
        </w:p>
        <w:p w:rsidR="007C498C" w:rsidRDefault="00AF6A17">
          <w:pPr>
            <w:ind w:right="-79"/>
            <w:jc w:val="center"/>
            <w:rPr>
              <w:smallCaps/>
            </w:rPr>
          </w:pPr>
          <w:r>
            <w:rPr>
              <w:smallCaps/>
            </w:rPr>
            <w:t>Professionale e Tecnico Agrario, Tecnico-Chimico, Professionale Alberghiero</w:t>
          </w:r>
        </w:p>
        <w:p w:rsidR="007C498C" w:rsidRDefault="00AF6A17">
          <w:pPr>
            <w:pStyle w:val="Titolo2"/>
            <w:ind w:right="992"/>
            <w:rPr>
              <w:sz w:val="20"/>
            </w:rPr>
          </w:pPr>
          <w:r>
            <w:rPr>
              <w:sz w:val="20"/>
            </w:rPr>
            <w:t>Via Mario Siciliano, 4 – Latina - Centralino 0773/69881</w:t>
          </w:r>
        </w:p>
        <w:p w:rsidR="007C498C" w:rsidRDefault="0013182E">
          <w:pPr>
            <w:pStyle w:val="Titolo"/>
            <w:rPr>
              <w:sz w:val="16"/>
              <w:szCs w:val="16"/>
            </w:rPr>
          </w:pPr>
          <w:hyperlink r:id="rId1">
            <w:r w:rsidR="00AF6A17">
              <w:rPr>
                <w:color w:val="0000FF"/>
                <w:sz w:val="16"/>
                <w:szCs w:val="16"/>
                <w:u w:val="single"/>
              </w:rPr>
              <w:t>ltis01600e@istruzione.it</w:t>
            </w:r>
          </w:hyperlink>
          <w:r w:rsidR="00AF6A17">
            <w:rPr>
              <w:sz w:val="16"/>
              <w:szCs w:val="16"/>
            </w:rPr>
            <w:t xml:space="preserve"> – </w:t>
          </w:r>
          <w:hyperlink r:id="rId2">
            <w:r w:rsidR="00AF6A17">
              <w:rPr>
                <w:color w:val="0000FF"/>
                <w:sz w:val="16"/>
                <w:szCs w:val="16"/>
                <w:u w:val="single"/>
              </w:rPr>
              <w:t>ltis01600e@pec.istruzione.it</w:t>
            </w:r>
          </w:hyperlink>
          <w:r w:rsidR="00AF6A17">
            <w:rPr>
              <w:sz w:val="16"/>
              <w:szCs w:val="16"/>
            </w:rPr>
            <w:t xml:space="preserve"> - http://www.ipasanbenedetto.edu.it</w:t>
          </w:r>
        </w:p>
      </w:tc>
      <w:tc>
        <w:tcPr>
          <w:tcW w:w="2459" w:type="dxa"/>
        </w:tcPr>
        <w:p w:rsidR="007C498C" w:rsidRDefault="00AF6A17">
          <w:pPr>
            <w:rPr>
              <w:rFonts w:ascii="Balthazar" w:eastAsia="Balthazar" w:hAnsi="Balthazar" w:cs="Balthazar"/>
              <w:smallCaps/>
              <w:sz w:val="18"/>
              <w:szCs w:val="18"/>
            </w:rPr>
          </w:pPr>
          <w:r>
            <w:rPr>
              <w:noProof/>
              <w:lang w:eastAsia="it-IT" w:bidi="ar-SA"/>
            </w:rPr>
            <w:drawing>
              <wp:anchor distT="0" distB="0" distL="114935" distR="114935" simplePos="0" relativeHeight="251658240" behindDoc="0" locked="0" layoutInCell="1" allowOverlap="1">
                <wp:simplePos x="0" y="0"/>
                <wp:positionH relativeFrom="column">
                  <wp:posOffset>264795</wp:posOffset>
                </wp:positionH>
                <wp:positionV relativeFrom="paragraph">
                  <wp:posOffset>20955</wp:posOffset>
                </wp:positionV>
                <wp:extent cx="1014095" cy="985520"/>
                <wp:effectExtent l="0" t="0" r="0" b="0"/>
                <wp:wrapSquare wrapText="bothSides" distT="0" distB="0" distL="114935" distR="11493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014095" cy="985520"/>
                        </a:xfrm>
                        <a:prstGeom prst="rect">
                          <a:avLst/>
                        </a:prstGeom>
                        <a:ln/>
                      </pic:spPr>
                    </pic:pic>
                  </a:graphicData>
                </a:graphic>
              </wp:anchor>
            </w:drawing>
          </w:r>
        </w:p>
      </w:tc>
    </w:tr>
  </w:tbl>
  <w:p w:rsidR="007C498C" w:rsidRDefault="007C49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3207"/>
    <w:multiLevelType w:val="multilevel"/>
    <w:tmpl w:val="F314C88C"/>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2616060"/>
    <w:multiLevelType w:val="multilevel"/>
    <w:tmpl w:val="25046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8B4D7D"/>
    <w:multiLevelType w:val="multilevel"/>
    <w:tmpl w:val="EC287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D243EE"/>
    <w:multiLevelType w:val="multilevel"/>
    <w:tmpl w:val="914EC60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7787ED2"/>
    <w:multiLevelType w:val="multilevel"/>
    <w:tmpl w:val="0AE69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574215"/>
    <w:multiLevelType w:val="multilevel"/>
    <w:tmpl w:val="A86E1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CD552C7"/>
    <w:multiLevelType w:val="multilevel"/>
    <w:tmpl w:val="BC00E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82D1218"/>
    <w:multiLevelType w:val="multilevel"/>
    <w:tmpl w:val="97320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FD60E7D"/>
    <w:multiLevelType w:val="multilevel"/>
    <w:tmpl w:val="06A4340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nsid w:val="50B74C86"/>
    <w:multiLevelType w:val="multilevel"/>
    <w:tmpl w:val="D5D85DAC"/>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026074"/>
    <w:multiLevelType w:val="multilevel"/>
    <w:tmpl w:val="FE745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375133A"/>
    <w:multiLevelType w:val="multilevel"/>
    <w:tmpl w:val="7376D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4"/>
  </w:num>
  <w:num w:numId="6">
    <w:abstractNumId w:val="6"/>
  </w:num>
  <w:num w:numId="7">
    <w:abstractNumId w:val="9"/>
  </w:num>
  <w:num w:numId="8">
    <w:abstractNumId w:val="1"/>
  </w:num>
  <w:num w:numId="9">
    <w:abstractNumId w:val="10"/>
  </w:num>
  <w:num w:numId="10">
    <w:abstractNumId w:val="2"/>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hyphenationZone w:val="283"/>
  <w:characterSpacingControl w:val="doNotCompress"/>
  <w:footnotePr>
    <w:footnote w:id="0"/>
    <w:footnote w:id="1"/>
  </w:footnotePr>
  <w:endnotePr>
    <w:endnote w:id="0"/>
    <w:endnote w:id="1"/>
  </w:endnotePr>
  <w:compat/>
  <w:rsids>
    <w:rsidRoot w:val="007C498C"/>
    <w:rsid w:val="000D589A"/>
    <w:rsid w:val="00111CBE"/>
    <w:rsid w:val="001309B9"/>
    <w:rsid w:val="0013182E"/>
    <w:rsid w:val="0016626C"/>
    <w:rsid w:val="00245A2F"/>
    <w:rsid w:val="00495286"/>
    <w:rsid w:val="00594539"/>
    <w:rsid w:val="005A407F"/>
    <w:rsid w:val="006E2154"/>
    <w:rsid w:val="007C2048"/>
    <w:rsid w:val="007C498C"/>
    <w:rsid w:val="008B1B81"/>
    <w:rsid w:val="00AF6A17"/>
    <w:rsid w:val="00B465C1"/>
    <w:rsid w:val="00D13201"/>
    <w:rsid w:val="00DA40CB"/>
    <w:rsid w:val="00FE79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734B5"/>
    <w:pPr>
      <w:suppressAutoHyphens/>
      <w:autoSpaceDN w:val="0"/>
      <w:textAlignment w:val="baseline"/>
    </w:pPr>
    <w:rPr>
      <w:rFonts w:eastAsia="Lucida Sans Unicode" w:cs="Mangal"/>
      <w:kern w:val="3"/>
      <w:lang w:eastAsia="zh-CN" w:bidi="hi-IN"/>
    </w:rPr>
  </w:style>
  <w:style w:type="paragraph" w:styleId="Titolo1">
    <w:name w:val="heading 1"/>
    <w:basedOn w:val="normal"/>
    <w:next w:val="normal"/>
    <w:rsid w:val="007C498C"/>
    <w:pPr>
      <w:keepNext/>
      <w:keepLines/>
      <w:spacing w:before="480" w:after="120"/>
      <w:outlineLvl w:val="0"/>
    </w:pPr>
    <w:rPr>
      <w:b/>
      <w:sz w:val="48"/>
      <w:szCs w:val="48"/>
    </w:rPr>
  </w:style>
  <w:style w:type="paragraph" w:styleId="Titolo2">
    <w:name w:val="heading 2"/>
    <w:basedOn w:val="Normale"/>
    <w:next w:val="Corpodeltesto"/>
    <w:link w:val="Titolo2Carattere"/>
    <w:qFormat/>
    <w:rsid w:val="006B1691"/>
    <w:pPr>
      <w:keepNext/>
      <w:widowControl/>
      <w:tabs>
        <w:tab w:val="num" w:pos="0"/>
      </w:tabs>
      <w:autoSpaceDN/>
      <w:jc w:val="center"/>
      <w:textAlignment w:val="auto"/>
      <w:outlineLvl w:val="1"/>
    </w:pPr>
    <w:rPr>
      <w:rFonts w:eastAsia="Arial Unicode MS"/>
      <w:kern w:val="1"/>
      <w:szCs w:val="20"/>
      <w:lang w:eastAsia="hi-IN"/>
    </w:rPr>
  </w:style>
  <w:style w:type="paragraph" w:styleId="Titolo3">
    <w:name w:val="heading 3"/>
    <w:basedOn w:val="normal"/>
    <w:next w:val="normal"/>
    <w:rsid w:val="007C498C"/>
    <w:pPr>
      <w:keepNext/>
      <w:keepLines/>
      <w:spacing w:before="280" w:after="80"/>
      <w:outlineLvl w:val="2"/>
    </w:pPr>
    <w:rPr>
      <w:b/>
      <w:sz w:val="28"/>
      <w:szCs w:val="28"/>
    </w:rPr>
  </w:style>
  <w:style w:type="paragraph" w:styleId="Titolo4">
    <w:name w:val="heading 4"/>
    <w:basedOn w:val="normal"/>
    <w:next w:val="normal"/>
    <w:rsid w:val="007C498C"/>
    <w:pPr>
      <w:keepNext/>
      <w:keepLines/>
      <w:spacing w:before="240" w:after="40"/>
      <w:outlineLvl w:val="3"/>
    </w:pPr>
    <w:rPr>
      <w:b/>
    </w:rPr>
  </w:style>
  <w:style w:type="paragraph" w:styleId="Titolo5">
    <w:name w:val="heading 5"/>
    <w:basedOn w:val="normal"/>
    <w:next w:val="normal"/>
    <w:rsid w:val="007C498C"/>
    <w:pPr>
      <w:keepNext/>
      <w:keepLines/>
      <w:spacing w:before="220" w:after="40"/>
      <w:outlineLvl w:val="4"/>
    </w:pPr>
    <w:rPr>
      <w:b/>
      <w:sz w:val="22"/>
      <w:szCs w:val="22"/>
    </w:rPr>
  </w:style>
  <w:style w:type="paragraph" w:styleId="Titolo6">
    <w:name w:val="heading 6"/>
    <w:basedOn w:val="normal"/>
    <w:next w:val="normal"/>
    <w:rsid w:val="007C498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C498C"/>
  </w:style>
  <w:style w:type="table" w:customStyle="1" w:styleId="TableNormal">
    <w:name w:val="Table Normal"/>
    <w:rsid w:val="007C498C"/>
    <w:tblPr>
      <w:tblCellMar>
        <w:top w:w="0" w:type="dxa"/>
        <w:left w:w="0" w:type="dxa"/>
        <w:bottom w:w="0" w:type="dxa"/>
        <w:right w:w="0" w:type="dxa"/>
      </w:tblCellMar>
    </w:tblPr>
  </w:style>
  <w:style w:type="paragraph" w:styleId="Titolo">
    <w:name w:val="Title"/>
    <w:basedOn w:val="Normale"/>
    <w:next w:val="Sottotitolo"/>
    <w:link w:val="TitoloCarattere"/>
    <w:qFormat/>
    <w:rsid w:val="006B1691"/>
    <w:pPr>
      <w:autoSpaceDN/>
      <w:jc w:val="center"/>
      <w:textAlignment w:val="auto"/>
    </w:pPr>
    <w:rPr>
      <w:rFonts w:eastAsia="Arial"/>
      <w:b/>
      <w:bCs/>
      <w:kern w:val="1"/>
      <w:sz w:val="28"/>
      <w:szCs w:val="20"/>
      <w:lang w:eastAsia="hi-IN"/>
    </w:rPr>
  </w:style>
  <w:style w:type="paragraph" w:styleId="Intestazione">
    <w:name w:val="header"/>
    <w:basedOn w:val="Normale"/>
    <w:link w:val="IntestazioneCarattere"/>
    <w:uiPriority w:val="99"/>
    <w:unhideWhenUsed/>
    <w:rsid w:val="006B1691"/>
    <w:pPr>
      <w:widowControl/>
      <w:tabs>
        <w:tab w:val="center" w:pos="4819"/>
        <w:tab w:val="right" w:pos="9638"/>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6B1691"/>
  </w:style>
  <w:style w:type="paragraph" w:styleId="Pidipagina">
    <w:name w:val="footer"/>
    <w:basedOn w:val="Normale"/>
    <w:link w:val="PidipaginaCarattere"/>
    <w:uiPriority w:val="99"/>
    <w:semiHidden/>
    <w:unhideWhenUsed/>
    <w:rsid w:val="006B169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B1691"/>
  </w:style>
  <w:style w:type="paragraph" w:styleId="Testofumetto">
    <w:name w:val="Balloon Text"/>
    <w:basedOn w:val="Normale"/>
    <w:link w:val="TestofumettoCarattere"/>
    <w:uiPriority w:val="99"/>
    <w:semiHidden/>
    <w:unhideWhenUsed/>
    <w:rsid w:val="006B1691"/>
    <w:pPr>
      <w:widowControl/>
      <w:suppressAutoHyphens w:val="0"/>
      <w:autoSpaceDN/>
      <w:textAlignment w:val="auto"/>
    </w:pPr>
    <w:rPr>
      <w:rFonts w:ascii="Tahoma" w:eastAsiaTheme="minorHAnsi" w:hAnsi="Tahoma" w:cs="Tahoma"/>
      <w:kern w:val="0"/>
      <w:sz w:val="16"/>
      <w:szCs w:val="16"/>
      <w:lang w:eastAsia="en-US" w:bidi="ar-SA"/>
    </w:rPr>
  </w:style>
  <w:style w:type="character" w:customStyle="1" w:styleId="TestofumettoCarattere">
    <w:name w:val="Testo fumetto Carattere"/>
    <w:basedOn w:val="Carpredefinitoparagrafo"/>
    <w:link w:val="Testofumetto"/>
    <w:uiPriority w:val="99"/>
    <w:semiHidden/>
    <w:rsid w:val="006B1691"/>
    <w:rPr>
      <w:rFonts w:ascii="Tahoma" w:hAnsi="Tahoma" w:cs="Tahoma"/>
      <w:sz w:val="16"/>
      <w:szCs w:val="16"/>
    </w:rPr>
  </w:style>
  <w:style w:type="character" w:customStyle="1" w:styleId="Titolo2Carattere">
    <w:name w:val="Titolo 2 Carattere"/>
    <w:basedOn w:val="Carpredefinitoparagrafo"/>
    <w:link w:val="Titolo2"/>
    <w:rsid w:val="006B1691"/>
    <w:rPr>
      <w:rFonts w:ascii="Times New Roman" w:eastAsia="Arial Unicode MS" w:hAnsi="Times New Roman" w:cs="Mangal"/>
      <w:kern w:val="1"/>
      <w:sz w:val="24"/>
      <w:szCs w:val="20"/>
      <w:lang w:eastAsia="hi-IN" w:bidi="hi-IN"/>
    </w:rPr>
  </w:style>
  <w:style w:type="character" w:styleId="Collegamentoipertestuale">
    <w:name w:val="Hyperlink"/>
    <w:rsid w:val="006B1691"/>
    <w:rPr>
      <w:color w:val="0000FF"/>
      <w:u w:val="single"/>
    </w:rPr>
  </w:style>
  <w:style w:type="character" w:customStyle="1" w:styleId="TitoloCarattere">
    <w:name w:val="Titolo Carattere"/>
    <w:basedOn w:val="Carpredefinitoparagrafo"/>
    <w:link w:val="Titolo"/>
    <w:rsid w:val="006B1691"/>
    <w:rPr>
      <w:rFonts w:ascii="Times New Roman" w:eastAsia="Arial" w:hAnsi="Times New Roman" w:cs="Mangal"/>
      <w:b/>
      <w:bCs/>
      <w:kern w:val="1"/>
      <w:sz w:val="28"/>
      <w:szCs w:val="20"/>
      <w:lang w:eastAsia="hi-IN" w:bidi="hi-IN"/>
    </w:rPr>
  </w:style>
  <w:style w:type="paragraph" w:styleId="Corpodeltesto">
    <w:name w:val="Body Text"/>
    <w:basedOn w:val="Normale"/>
    <w:link w:val="CorpodeltestoCarattere"/>
    <w:uiPriority w:val="99"/>
    <w:semiHidden/>
    <w:unhideWhenUsed/>
    <w:rsid w:val="006B1691"/>
    <w:pPr>
      <w:widowControl/>
      <w:suppressAutoHyphens w:val="0"/>
      <w:autoSpaceDN/>
      <w:spacing w:after="120" w:line="276" w:lineRule="auto"/>
      <w:textAlignment w:val="auto"/>
    </w:pPr>
    <w:rPr>
      <w:rFonts w:asciiTheme="minorHAnsi" w:eastAsiaTheme="minorHAnsi" w:hAnsiTheme="minorHAnsi" w:cstheme="minorBidi"/>
      <w:kern w:val="0"/>
      <w:sz w:val="22"/>
      <w:szCs w:val="22"/>
      <w:lang w:eastAsia="en-US" w:bidi="ar-SA"/>
    </w:rPr>
  </w:style>
  <w:style w:type="character" w:customStyle="1" w:styleId="CorpodeltestoCarattere">
    <w:name w:val="Corpo del testo Carattere"/>
    <w:basedOn w:val="Carpredefinitoparagrafo"/>
    <w:link w:val="Corpodeltesto"/>
    <w:uiPriority w:val="99"/>
    <w:semiHidden/>
    <w:rsid w:val="006B1691"/>
  </w:style>
  <w:style w:type="paragraph" w:styleId="Sottotitolo">
    <w:name w:val="Subtitle"/>
    <w:basedOn w:val="normal"/>
    <w:next w:val="normal"/>
    <w:link w:val="SottotitoloCarattere"/>
    <w:rsid w:val="007C498C"/>
    <w:pPr>
      <w:widowControl/>
      <w:spacing w:after="200" w:line="276" w:lineRule="auto"/>
    </w:pPr>
    <w:rPr>
      <w:rFonts w:ascii="Cambria" w:eastAsia="Cambria" w:hAnsi="Cambria" w:cs="Cambria"/>
      <w:i/>
      <w:color w:val="4F81BD"/>
    </w:rPr>
  </w:style>
  <w:style w:type="character" w:customStyle="1" w:styleId="SottotitoloCarattere">
    <w:name w:val="Sottotitolo Carattere"/>
    <w:basedOn w:val="Carpredefinitoparagrafo"/>
    <w:link w:val="Sottotitolo"/>
    <w:uiPriority w:val="11"/>
    <w:rsid w:val="006B1691"/>
    <w:rPr>
      <w:rFonts w:asciiTheme="majorHAnsi" w:eastAsiaTheme="majorEastAsia" w:hAnsiTheme="majorHAnsi" w:cstheme="majorBidi"/>
      <w:i/>
      <w:iCs/>
      <w:color w:val="4F81BD" w:themeColor="accent1"/>
      <w:spacing w:val="15"/>
      <w:sz w:val="24"/>
      <w:szCs w:val="24"/>
    </w:rPr>
  </w:style>
  <w:style w:type="table" w:styleId="Grigliatabella">
    <w:name w:val="Table Grid"/>
    <w:basedOn w:val="Tabellanormale"/>
    <w:uiPriority w:val="59"/>
    <w:rsid w:val="006B16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734B5"/>
    <w:pPr>
      <w:suppressAutoHyphens/>
      <w:autoSpaceDN w:val="0"/>
      <w:textAlignment w:val="baseline"/>
    </w:pPr>
    <w:rPr>
      <w:rFonts w:eastAsia="Lucida Sans Unicode" w:cs="Mangal"/>
      <w:kern w:val="3"/>
      <w:lang w:eastAsia="zh-CN" w:bidi="hi-IN"/>
    </w:rPr>
  </w:style>
  <w:style w:type="paragraph" w:styleId="Paragrafoelenco">
    <w:name w:val="List Paragraph"/>
    <w:basedOn w:val="Normale"/>
    <w:uiPriority w:val="34"/>
    <w:qFormat/>
    <w:rsid w:val="001831BD"/>
    <w:pPr>
      <w:ind w:left="720"/>
      <w:contextualSpacing/>
    </w:pPr>
    <w:rPr>
      <w:szCs w:val="21"/>
    </w:rPr>
  </w:style>
  <w:style w:type="paragraph" w:customStyle="1" w:styleId="Normale1">
    <w:name w:val="Normale1"/>
    <w:rsid w:val="001E1E0B"/>
    <w:rPr>
      <w:rFonts w:ascii="Calibri" w:eastAsia="Calibri" w:hAnsi="Calibri" w:cs="Calibri"/>
    </w:rPr>
  </w:style>
  <w:style w:type="paragraph" w:styleId="Nessunaspaziatura">
    <w:name w:val="No Spacing"/>
    <w:uiPriority w:val="1"/>
    <w:qFormat/>
    <w:rsid w:val="00650325"/>
    <w:rPr>
      <w:rFonts w:ascii="Calibri" w:hAnsi="Calibri"/>
    </w:rPr>
  </w:style>
  <w:style w:type="character" w:styleId="Enfasicorsivo">
    <w:name w:val="Emphasis"/>
    <w:basedOn w:val="Carpredefinitoparagrafo"/>
    <w:uiPriority w:val="20"/>
    <w:qFormat/>
    <w:rsid w:val="00C01FF6"/>
    <w:rPr>
      <w:i/>
      <w:iCs/>
    </w:rPr>
  </w:style>
  <w:style w:type="paragraph" w:customStyle="1" w:styleId="Default">
    <w:name w:val="Default"/>
    <w:rsid w:val="005D7C03"/>
    <w:pPr>
      <w:autoSpaceDE w:val="0"/>
      <w:autoSpaceDN w:val="0"/>
      <w:adjustRightInd w:val="0"/>
    </w:pPr>
    <w:rPr>
      <w:rFonts w:ascii="Tahoma" w:hAnsi="Tahoma" w:cs="Tahoma"/>
      <w:color w:val="000000"/>
    </w:rPr>
  </w:style>
  <w:style w:type="table" w:customStyle="1" w:styleId="a">
    <w:basedOn w:val="TableNormal"/>
    <w:rsid w:val="007C498C"/>
    <w:tblPr>
      <w:tblStyleRowBandSize w:val="1"/>
      <w:tblStyleColBandSize w:val="1"/>
      <w:tblCellMar>
        <w:top w:w="0" w:type="dxa"/>
        <w:left w:w="115" w:type="dxa"/>
        <w:bottom w:w="0" w:type="dxa"/>
        <w:right w:w="115" w:type="dxa"/>
      </w:tblCellMar>
    </w:tblPr>
  </w:style>
  <w:style w:type="table" w:customStyle="1" w:styleId="a0">
    <w:basedOn w:val="TableNormal"/>
    <w:rsid w:val="007C498C"/>
    <w:tblPr>
      <w:tblStyleRowBandSize w:val="1"/>
      <w:tblStyleColBandSize w:val="1"/>
      <w:tblCellMar>
        <w:top w:w="0" w:type="dxa"/>
        <w:left w:w="115" w:type="dxa"/>
        <w:bottom w:w="0" w:type="dxa"/>
        <w:right w:w="115" w:type="dxa"/>
      </w:tblCellMar>
    </w:tblPr>
  </w:style>
  <w:style w:type="table" w:customStyle="1" w:styleId="a1">
    <w:basedOn w:val="TableNormal"/>
    <w:rsid w:val="007C498C"/>
    <w:tblPr>
      <w:tblStyleRowBandSize w:val="1"/>
      <w:tblStyleColBandSize w:val="1"/>
      <w:tblCellMar>
        <w:top w:w="0" w:type="dxa"/>
        <w:left w:w="115" w:type="dxa"/>
        <w:bottom w:w="0" w:type="dxa"/>
        <w:right w:w="115" w:type="dxa"/>
      </w:tblCellMar>
    </w:tblPr>
  </w:style>
  <w:style w:type="table" w:customStyle="1" w:styleId="a2">
    <w:basedOn w:val="TableNormal"/>
    <w:rsid w:val="007C498C"/>
    <w:tblPr>
      <w:tblStyleRowBandSize w:val="1"/>
      <w:tblStyleColBandSize w:val="1"/>
      <w:tblCellMar>
        <w:top w:w="0" w:type="dxa"/>
        <w:left w:w="115" w:type="dxa"/>
        <w:bottom w:w="0" w:type="dxa"/>
        <w:right w:w="115" w:type="dxa"/>
      </w:tblCellMar>
    </w:tblPr>
  </w:style>
  <w:style w:type="table" w:customStyle="1" w:styleId="a3">
    <w:basedOn w:val="TableNormal"/>
    <w:rsid w:val="007C498C"/>
    <w:tblPr>
      <w:tblStyleRowBandSize w:val="1"/>
      <w:tblStyleColBandSize w:val="1"/>
      <w:tblCellMar>
        <w:top w:w="0" w:type="dxa"/>
        <w:left w:w="115" w:type="dxa"/>
        <w:bottom w:w="0" w:type="dxa"/>
        <w:right w:w="115" w:type="dxa"/>
      </w:tblCellMar>
    </w:tblPr>
  </w:style>
  <w:style w:type="table" w:customStyle="1" w:styleId="a4">
    <w:basedOn w:val="TableNormal"/>
    <w:rsid w:val="007C498C"/>
    <w:tblPr>
      <w:tblStyleRowBandSize w:val="1"/>
      <w:tblStyleColBandSize w:val="1"/>
      <w:tblCellMar>
        <w:top w:w="0" w:type="dxa"/>
        <w:left w:w="115" w:type="dxa"/>
        <w:bottom w:w="0" w:type="dxa"/>
        <w:right w:w="115" w:type="dxa"/>
      </w:tblCellMar>
    </w:tblPr>
  </w:style>
  <w:style w:type="table" w:customStyle="1" w:styleId="a5">
    <w:basedOn w:val="TableNormal"/>
    <w:rsid w:val="007C498C"/>
    <w:tblPr>
      <w:tblStyleRowBandSize w:val="1"/>
      <w:tblStyleColBandSize w:val="1"/>
      <w:tblCellMar>
        <w:top w:w="0" w:type="dxa"/>
        <w:left w:w="115" w:type="dxa"/>
        <w:bottom w:w="0" w:type="dxa"/>
        <w:right w:w="115" w:type="dxa"/>
      </w:tblCellMar>
    </w:tblPr>
  </w:style>
  <w:style w:type="table" w:customStyle="1" w:styleId="a6">
    <w:basedOn w:val="TableNormal"/>
    <w:rsid w:val="007C498C"/>
    <w:tblPr>
      <w:tblStyleRowBandSize w:val="1"/>
      <w:tblStyleColBandSize w:val="1"/>
      <w:tblCellMar>
        <w:top w:w="0" w:type="dxa"/>
        <w:left w:w="115" w:type="dxa"/>
        <w:bottom w:w="0" w:type="dxa"/>
        <w:right w:w="115" w:type="dxa"/>
      </w:tblCellMar>
    </w:tblPr>
  </w:style>
  <w:style w:type="table" w:customStyle="1" w:styleId="a7">
    <w:basedOn w:val="TableNormal"/>
    <w:rsid w:val="007C498C"/>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ltis01600e@pec.istruzione.it" TargetMode="External"/><Relationship Id="rId1" Type="http://schemas.openxmlformats.org/officeDocument/2006/relationships/hyperlink" Target="mailto:ltis016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ujB9Njp+TdEiho7Ku6ruoUJmKQ==">AMUW2mXJ2UQWaN8xj8/VC3tKdH+EtaeTGkXSJymhUFKE0uYRvlQlWn5nT8yhbWB+MTUcrWnEiJMUYG5moMK82eUC001UoO3Eli3bNq3YLJe9bVaCI6TW91sWLiYJ31ykKhb+R8obOnTxrvNA1+5t/bi9YnlFtsYUizHgZeQtiWuI8j0tUIGtTSF5560UFgnH+gDZcBZuCB8d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2697</Words>
  <Characters>15373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iissanbenedetto</dc:creator>
  <cp:lastModifiedBy>acer</cp:lastModifiedBy>
  <cp:revision>5</cp:revision>
  <dcterms:created xsi:type="dcterms:W3CDTF">2023-02-27T11:57:00Z</dcterms:created>
  <dcterms:modified xsi:type="dcterms:W3CDTF">2023-05-22T09:58:00Z</dcterms:modified>
</cp:coreProperties>
</file>